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September 23, 2026</w: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br/>
        <w:t xml:space="preserve">SECURITIES AND EXCHANGE COMMISSION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UNDER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THE SECURITIES ACT OF 1933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LAMB WESTON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7528" w:type="dxa"/>
        <w:jc w:val="left"/>
        <w:tblInd w:w="0" w:type="dxa"/>
        <w:tblLayout w:type="fixed"/>
        <w:tblCellMar>
          <w:top w:w="28" w:type="dxa"/>
          <w:left w:w="28" w:type="dxa"/>
          <w:bottom w:w="28" w:type="dxa"/>
          <w:right w:w="28" w:type="dxa"/>
        </w:tblCellMar>
      </w:tblPr>
      <w:tblGrid>
        <w:gridCol w:w="1947"/>
        <w:gridCol w:w="1713"/>
        <w:gridCol w:w="1721"/>
        <w:gridCol w:w="124"/>
        <w:gridCol w:w="124"/>
        <w:gridCol w:w="124"/>
        <w:gridCol w:w="519"/>
        <w:gridCol w:w="519"/>
        <w:gridCol w:w="737"/>
      </w:tblGrid>
      <w:tr>
        <w:trPr/>
        <w:tc>
          <w:tcPr>
            <w:tcW w:w="1947"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lineRule="auto" w:line="288" w:before="0" w:after="60"/>
              <w:jc w:val="center"/>
              <w:rPr/>
            </w:pPr>
            <w:r>
              <w:rPr>
                <w:rFonts w:ascii="Times New Roman;serif" w:hAnsi="Times New Roman;serif"/>
                <w:b/>
                <w:color w:val="000000"/>
                <w:sz w:val="22"/>
              </w:rPr>
              <w:t>Delaware</w:t>
            </w:r>
            <w:r>
              <w:rPr>
                <w:color w:val="000000"/>
              </w:rPr>
              <w:t xml:space="preserve"> </w:t>
            </w:r>
            <w:r>
              <w:rPr>
                <w:rFonts w:ascii="Times New Roman;serif" w:hAnsi="Times New Roman;serif"/>
                <w:b/>
                <w:color w:val="000000"/>
                <w:sz w:val="20"/>
              </w:rPr>
              <w:br/>
            </w:r>
            <w:r>
              <w:rPr>
                <w:rFonts w:ascii="Times New Roman;serif" w:hAnsi="Times New Roman;serif"/>
                <w:b/>
                <w:color w:val="000000"/>
                <w:sz w:val="18"/>
              </w:rPr>
              <w:t>(State or other jurisdiction of incorporation or organization)</w:t>
            </w:r>
          </w:p>
          <w:p>
            <w:pPr>
              <w:pStyle w:val="TableContents"/>
              <w:bidi w:val="0"/>
              <w:spacing w:before="0" w:after="6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599 S. Rivershore Lane</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Eagle, Idaho</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lineRule="auto" w:line="288" w:before="0" w:after="60"/>
              <w:jc w:val="center"/>
              <w:rPr/>
            </w:pPr>
            <w:r>
              <w:rPr>
                <w:rFonts w:ascii="Times New Roman;serif" w:hAnsi="Times New Roman;serif"/>
                <w:b/>
                <w:color w:val="000000"/>
                <w:sz w:val="22"/>
              </w:rPr>
              <w:t>61-1797411</w:t>
            </w:r>
            <w:r>
              <w:rPr>
                <w:color w:val="000000"/>
              </w:rPr>
              <w:t xml:space="preserve"> </w:t>
            </w:r>
            <w:r>
              <w:rPr>
                <w:rFonts w:ascii="Times New Roman;serif" w:hAnsi="Times New Roman;serif"/>
                <w:b/>
                <w:color w:val="000000"/>
                <w:sz w:val="20"/>
              </w:rPr>
              <w:br/>
            </w:r>
            <w:r>
              <w:rPr>
                <w:rFonts w:ascii="Times New Roman;serif" w:hAnsi="Times New Roman;serif"/>
                <w:b/>
                <w:color w:val="000000"/>
                <w:sz w:val="18"/>
              </w:rPr>
              <w:t xml:space="preserve">(I.R.S. Employer </w:t>
              <w:br/>
              <w:t>Identification No.)</w:t>
            </w:r>
          </w:p>
          <w:p>
            <w:pPr>
              <w:pStyle w:val="TableContents"/>
              <w:bidi w:val="0"/>
              <w:spacing w:before="0" w:after="60"/>
              <w:jc w:val="center"/>
              <w:rPr/>
            </w:pPr>
            <w:r>
              <w:rPr/>
            </w:r>
          </w:p>
          <w:p>
            <w:pPr>
              <w:pStyle w:val="TableContents"/>
              <w:bidi w:val="0"/>
              <w:spacing w:before="0" w:after="60"/>
              <w:jc w:val="center"/>
              <w:rPr/>
            </w:pPr>
            <w:r>
              <w:rPr/>
            </w:r>
          </w:p>
          <w:p>
            <w:pPr>
              <w:pStyle w:val="TableContents"/>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83616</w:t>
            </w:r>
          </w:p>
          <w:p>
            <w:pPr>
              <w:pStyle w:val="TableContents"/>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75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Lamb Weston Holdings, Inc. 2026 Equity and Incentive Compensation Plan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(Full title of the plan)</w:t>
            </w:r>
          </w:p>
        </w:tc>
      </w:tr>
      <w:tr>
        <w:trPr/>
        <w:tc>
          <w:tcPr>
            <w:tcW w:w="75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Eryk J. Spytek</w:t>
              <w:br/>
              <w:t>General Counsel and Chief Compliance Officer</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Lamb Weston Holdings, Inc.</w:t>
              <w:br/>
              <w:t>599 S. Rivershore Lane</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Eagle, Idaho 83616</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and address of agent for service)</w:t>
            </w:r>
          </w:p>
          <w:p>
            <w:pPr>
              <w:pStyle w:val="TableContents"/>
              <w:bidi w:val="0"/>
              <w:spacing w:lineRule="auto" w:line="288" w:before="0" w:after="120"/>
              <w:jc w:val="center"/>
              <w:rPr/>
            </w:pPr>
            <w:r>
              <w:rPr>
                <w:rFonts w:ascii="Times New Roman;serif" w:hAnsi="Times New Roman;serif"/>
                <w:b/>
                <w:color w:val="000000"/>
                <w:sz w:val="20"/>
              </w:rPr>
              <w:br/>
            </w:r>
            <w:r>
              <w:rPr>
                <w:rFonts w:ascii="Times New Roman;serif" w:hAnsi="Times New Roman;serif"/>
                <w:b/>
                <w:color w:val="000000"/>
                <w:sz w:val="22"/>
              </w:rPr>
              <w:t>(208) 938-1047</w:t>
            </w:r>
            <w:r>
              <w:rPr>
                <w:color w:val="000000"/>
              </w:rPr>
              <w:t xml:space="preserve"> </w:t>
            </w:r>
            <w:r>
              <w:rPr>
                <w:rFonts w:ascii="Times New Roman;serif" w:hAnsi="Times New Roman;serif"/>
                <w:b/>
                <w:color w:val="000000"/>
                <w:sz w:val="20"/>
              </w:rPr>
              <w:br/>
            </w:r>
            <w:r>
              <w:rPr>
                <w:rFonts w:ascii="Times New Roman;serif" w:hAnsi="Times New Roman;serif"/>
                <w:b/>
                <w:color w:val="000000"/>
                <w:sz w:val="18"/>
              </w:rPr>
              <w:t>(Telephone number, including area code, of agent for service)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br/>
        <w:t>INFORMATION REQUIRED IN THE SECTION 10(a) PROSPECTUS</w:t>
      </w:r>
    </w:p>
    <w:p>
      <w:pPr>
        <w:pStyle w:val="TextBody"/>
        <w:bidi w:val="0"/>
        <w:spacing w:lineRule="auto" w:line="288" w:before="0" w:after="240"/>
        <w:jc w:val="left"/>
        <w:rPr/>
      </w:pPr>
      <w:r>
        <w:rPr>
          <w:rFonts w:ascii="Times New Roman;serif" w:hAnsi="Times New Roman;serif"/>
          <w:b w:val="false"/>
          <w:color w:val="000000"/>
          <w:sz w:val="20"/>
        </w:rPr>
        <w:t>The documents containing the employee benefit plan information and other information required by Part I of Form S-8 will be sent or given to participants under the Plan as specified by Rule 428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In accordance with Rule 428 under the Securities Act and the requirements of Part I of Form S-8, such documents are not being filed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either as a part of this Registration Statement or as a prospectus or prospectus supplement pursuant to Rule 424 under the Securities Act. The Registrant will maintain a file of such documents in accordance with the provisions of Rule 428 under the Securities Act. Upon request, the Registrant will furnish to the Commission or its staff a copy or copies of all of the documents included in such file.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br/>
        <w:t xml:space="preserve">INFORMATION REQUIRED IN THE REGISTRATION STATEMENT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3. Incorporation of Documents by Reference. </w:t>
      </w:r>
    </w:p>
    <w:p>
      <w:pPr>
        <w:pStyle w:val="TextBody"/>
        <w:bidi w:val="0"/>
        <w:spacing w:lineRule="auto" w:line="288" w:before="0" w:after="240"/>
        <w:jc w:val="left"/>
        <w:rPr/>
      </w:pPr>
      <w:r>
        <w:rPr>
          <w:rFonts w:ascii="Times New Roman;serif" w:hAnsi="Times New Roman;serif"/>
          <w:b w:val="false"/>
          <w:color w:val="000000"/>
          <w:sz w:val="20"/>
        </w:rPr>
        <w:t>The Registrant is subject to the informational and reporting requirements of Sections 13(a), 13(c), 14 and 15(d)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The following documents, which are on file with the Commission, are incorporated into this Registration Statement by reference: </w:t>
      </w:r>
    </w:p>
    <w:p>
      <w:pPr>
        <w:pStyle w:val="TextBody"/>
        <w:bidi w:val="0"/>
        <w:spacing w:lineRule="auto" w:line="288" w:before="0" w:after="200"/>
        <w:ind w:left="0" w:right="0" w:hanging="360"/>
        <w:jc w:val="left"/>
        <w:rPr/>
      </w:pPr>
      <w:r>
        <w:rPr>
          <w:rFonts w:ascii="Times New Roman;serif" w:hAnsi="Times New Roman;serif"/>
          <w:b w:val="false"/>
          <w:color w:val="000000"/>
          <w:sz w:val="20"/>
        </w:rPr>
        <w:t xml:space="preserve">1.    the Registrant’s </w:t>
      </w:r>
      <w:hyperlink r:id="rId2">
        <w:r>
          <w:rPr>
            <w:rStyle w:val="InternetLink"/>
          </w:rPr>
          <w:t xml:space="preserve">Annual Report on Form 10-K for the year ended May </w:t>
        </w:r>
      </w:hyperlink>
      <w:hyperlink r:id="rId3">
        <w:r>
          <w:rPr>
            <w:rStyle w:val="InternetLink"/>
          </w:rPr>
          <w:t>31</w:t>
        </w:r>
      </w:hyperlink>
      <w:hyperlink r:id="rId4">
        <w:r>
          <w:rPr>
            <w:rStyle w:val="InternetLink"/>
          </w:rPr>
          <w:t>, 202</w:t>
        </w:r>
      </w:hyperlink>
      <w:hyperlink r:id="rId5">
        <w:r>
          <w:rPr>
            <w:rStyle w:val="InternetLink"/>
          </w:rPr>
          <w:t>6</w:t>
        </w:r>
      </w:hyperlink>
      <w:r>
        <w:rPr>
          <w:rFonts w:ascii="Times New Roman;serif" w:hAnsi="Times New Roman;serif"/>
          <w:b w:val="false"/>
          <w:color w:val="000000"/>
          <w:sz w:val="20"/>
        </w:rPr>
        <w:t xml:space="preserve">; </w:t>
      </w:r>
    </w:p>
    <w:p>
      <w:pPr>
        <w:pStyle w:val="TextBody"/>
        <w:bidi w:val="0"/>
        <w:spacing w:lineRule="auto" w:line="288" w:before="0" w:after="200"/>
        <w:ind w:left="0" w:right="0" w:hanging="360"/>
        <w:jc w:val="left"/>
        <w:rPr/>
      </w:pPr>
      <w:r>
        <w:rPr>
          <w:rFonts w:ascii="Times New Roman;serif" w:hAnsi="Times New Roman;serif"/>
          <w:b w:val="false"/>
          <w:color w:val="000000"/>
          <w:sz w:val="20"/>
        </w:rPr>
        <w:t xml:space="preserve">2.    the Registrant’s </w:t>
      </w:r>
      <w:hyperlink r:id="rId6">
        <w:r>
          <w:rPr>
            <w:rStyle w:val="InternetLink"/>
          </w:rPr>
          <w:t>Current Report</w:t>
        </w:r>
      </w:hyperlink>
      <w:hyperlink r:id="rId7">
        <w:r>
          <w:rPr>
            <w:rStyle w:val="InternetLink"/>
          </w:rPr>
          <w:t xml:space="preserve"> on Form 8-K filed on </w:t>
        </w:r>
      </w:hyperlink>
      <w:hyperlink r:id="rId8">
        <w:r>
          <w:rPr>
            <w:rStyle w:val="InternetLink"/>
          </w:rPr>
          <w:t>September 16, 2026</w:t>
        </w:r>
      </w:hyperlink>
      <w:r>
        <w:rPr>
          <w:rFonts w:ascii="Times New Roman;serif" w:hAnsi="Times New Roman;serif"/>
          <w:b w:val="false"/>
          <w:color w:val="000000"/>
          <w:sz w:val="20"/>
        </w:rPr>
        <w:t xml:space="preserve">; and </w:t>
      </w:r>
    </w:p>
    <w:p>
      <w:pPr>
        <w:pStyle w:val="TextBody"/>
        <w:bidi w:val="0"/>
        <w:spacing w:lineRule="auto" w:line="288" w:before="0" w:after="200"/>
        <w:ind w:left="0" w:right="0" w:hanging="360"/>
        <w:jc w:val="left"/>
        <w:rPr/>
      </w:pPr>
      <w:r>
        <w:rPr>
          <w:rFonts w:ascii="Times New Roman;serif" w:hAnsi="Times New Roman;serif"/>
          <w:b w:val="false"/>
          <w:color w:val="000000"/>
          <w:sz w:val="20"/>
        </w:rPr>
        <w:t xml:space="preserve">3.    the description of the Registrant’s Common Stock contained in the Registrant’s Information Statement, filed as Exhibit 99.1 to Amendment No. 4 to the Registrant’s Registration Statement on Form 10 filed with the Commission on October 17, 2016, as updated by the description of Common Stock contained in </w:t>
      </w:r>
      <w:hyperlink r:id="rId9">
        <w:r>
          <w:rPr>
            <w:rStyle w:val="InternetLink"/>
            <w:rFonts w:ascii="Times New Roman;serif" w:hAnsi="Times New Roman;serif"/>
            <w:b w:val="false"/>
            <w:color w:val="0E32E1"/>
            <w:sz w:val="20"/>
            <w:u w:val="single"/>
          </w:rPr>
          <w:t>Exhibit 4.3</w:t>
        </w:r>
      </w:hyperlink>
      <w:r>
        <w:rPr>
          <w:color w:val="000000"/>
        </w:rPr>
        <w:t xml:space="preserve"> </w:t>
      </w:r>
      <w:r>
        <w:rPr>
          <w:rFonts w:ascii="Times New Roman;serif" w:hAnsi="Times New Roman;serif"/>
          <w:b w:val="false"/>
          <w:color w:val="000000"/>
          <w:sz w:val="20"/>
        </w:rPr>
        <w:t xml:space="preserve">to the Registrant’s Annual Report on Form 10-K for the year ended May 26, 2019.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All documents filed by the Registrant with the Commission pursuant to Sections 13(a), 13(c), 14 and 15(d) of the Exchange Act (excluding information deemed to be furnished and not filed with the Commission) subsequent to the effective date of this Registration Statement and prior to the filing of a post-effective amendment that indicates that all securities offered have been sold or that deregisters all securities then remaining unsold, will be deemed to be incorporated by reference in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will not be deemed, except as modified or superseded, to constitute a part of this Registration Statement.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4. Description of Securities.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5. Interests of Named Experts and Counsel.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6. Indemnification of Directors and Officers.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Section 102(b)(7) of the General Corporation Law of the State of Delaware allows a corporation to include in its certificate of incorporation a provision that limits or eliminates the personal liability of directors or officers of a corporation or its stockholders for monetary damages for a breach of a fiduciary duty as a director or officer, except where the director or officer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Section 145 of the General Corporation Law of the State of Delaware allows a corporation to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expenses (including attorneys’ fees), judgments, fines and amounts paid in settlement actually and reasonably incurred by such person in connection with such action, suit or proceeding, provided that such person acted in good faith and in a manner such person reasonably believed to be in or not opposed to the best interests of the corporation and, with respect to any criminal action or proceeding, had no reasonable cause to believe such person’s conduct was unlawful. A Delaware corporation may indemnify directors, officers, employees and other agents of such corporation in an action by or in the right of a corporation to procure a judgment in its favor under the same conditions against expenses (including attorneys’ fees) actually and reasonably incurred by the person in connection with the defense or settlement of such action or suit, except that no indemnification is permitted without judicial approval if the person to be indemnified has been adjudged to be liable to the corporation with respect to such claim, issue or matter. Where a present or former director or officer of the corporation is successful on the merits or otherwise in the defense of any action, suit or proceeding referred to above or in defense of any claim, issue or matter therein, the corporation must indemnify such person against the expenses (including attorneys’ fees) which he or she actually and reasonably incurred in connection therewith.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Section 174 of the General Corporation Law of the State of Delaware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into the books containing the minutes of the meetings of the board of directors at the time such action occurred or immediately after such absent director receives notice of the unlawful acts.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Article VIII of the Amended and Restated Certificate of Incorporation of the Registrant, as amended, to the full extent permitted by the General Corporation Law of the State of Delaware and any other applicable law currently or hereafter in effect, no director or officer shall be personally liable to the Registrant or its stockholders for or with respect to any breach of fiduciary duty or other act or omission as a director or officer. </w:t>
      </w:r>
    </w:p>
    <w:p>
      <w:pPr>
        <w:pStyle w:val="TextBody"/>
        <w:bidi w:val="0"/>
        <w:spacing w:lineRule="auto" w:line="288" w:before="0" w:after="240"/>
        <w:jc w:val="left"/>
        <w:rPr/>
      </w:pPr>
      <w:r>
        <w:rPr>
          <w:rFonts w:ascii="Times New Roman;serif" w:hAnsi="Times New Roman;serif"/>
          <w:b w:val="false"/>
          <w:color w:val="000000"/>
          <w:sz w:val="20"/>
        </w:rPr>
        <w:t>The Amended and Restated Bylaws (the “</w:t>
      </w:r>
      <w:r>
        <w:rPr>
          <w:rFonts w:ascii="Times New Roman;serif" w:hAnsi="Times New Roman;serif"/>
          <w:b/>
          <w:i/>
          <w:color w:val="000000"/>
          <w:sz w:val="20"/>
        </w:rPr>
        <w:t>Bylaws</w:t>
      </w:r>
      <w:r>
        <w:rPr>
          <w:color w:val="000000"/>
        </w:rPr>
        <w:t>”</w:t>
      </w:r>
      <w:r>
        <w:rPr>
          <w:rFonts w:ascii="Times New Roman;serif" w:hAnsi="Times New Roman;serif"/>
          <w:b w:val="false"/>
          <w:color w:val="000000"/>
          <w:sz w:val="20"/>
        </w:rPr>
        <w:t xml:space="preserve">) of the Registrant provide for indemnification of Registrant officers and directors against all expenses, liability or losses reasonably incurred or suffered by the officer or director, including liability arising under the Securities Act, to the extent legally permissible under Section 145 of the General Corporation Law of the State of Delaware where any such person was, is, or is threatened to be made a party to or is involved in any action, suit or proceeding whether civil, criminal, administrative or investigative, by reason of the fact such person was serving the Registrant in such capacity as long as such person acted in good faith and in a manner such person reasonably believed to be in or not opposed to the best interests of the Registrant, and, with respect to any criminal action or proceedings, had no reasonable cause to believe the conduct was criminal. The Bylaws of the Registrant limit the indemnification provided to a Registrant officer or director in connection with actions, suits, or proceedings commenced by the Registrant officer or director to instances where the commencement of the proceeding (or part thereof) was authorized by the Board of Directors of the Registrant.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Registrant also maintains a director and officer insurance policy which insures the officers and directors of the Registrant and its subsidiaries against damages, judgments, settlements and costs incurred by reason of certain wrongful acts committed by such persons in their capacities as officers and directors.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7. Exemption from Registration Claimed.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447"/>
        <w:gridCol w:w="336"/>
        <w:gridCol w:w="337"/>
        <w:gridCol w:w="2765"/>
        <w:gridCol w:w="2616"/>
        <w:gridCol w:w="3704"/>
      </w:tblGrid>
      <w:tr>
        <w:trPr/>
        <w:tc>
          <w:tcPr>
            <w:tcW w:w="44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Number</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Description</w:t>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4.1</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E32E1"/>
                  <w:sz w:val="20"/>
                  <w:u w:val="single"/>
                </w:rPr>
                <w:t>Amended and Restated Certificate of Incorporation of the Registrant, incorporated by reference to Exhibit 3.1 to the Registrant’s Current Report on Form 8-K, filed November 10, 2016 (File No. 001-37830)</w:t>
              </w:r>
            </w:hyperlink>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4.2</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E32E1"/>
                  <w:sz w:val="20"/>
                  <w:u w:val="single"/>
                </w:rPr>
                <w:t xml:space="preserve">Certificate of Amendment to Amended and Restated Certificate of Incorporation of Lamb Weston Holdings, Inc., incorporated by reference to Exhibit 3.1 of Lamb Weston Holdings, Inc.’s Current Report on Form 8-K filed on September 27, 2024 (File No. 001-37830) </w:t>
              </w:r>
            </w:hyperlink>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4.3</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E32E1"/>
                  <w:sz w:val="20"/>
                  <w:u w:val="single"/>
                </w:rPr>
                <w:t>Amended and Restated Bylaws of Lamb Weston Holdings, Inc., incorporated by reference to Exhibit 3.1 of Lamb Weston Holdings, Inc.’s Current Report on Form 8-K filed on March 24, 2023 (File No. 001-37830)</w:t>
              </w:r>
            </w:hyperlink>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4.4*</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4lambwestonequityandinc.htm">
              <w:r>
                <w:rPr>
                  <w:rStyle w:val="InternetLink"/>
                  <w:rFonts w:ascii="Times New Roman;serif" w:hAnsi="Times New Roman;serif"/>
                  <w:b w:val="false"/>
                  <w:color w:val="0000FF"/>
                  <w:sz w:val="20"/>
                  <w:u w:val="single"/>
                </w:rPr>
                <w:t xml:space="preserve">Lamb Weston Holdings, Inc. 2026 Equity and Incentive Compensation Plan </w:t>
              </w:r>
            </w:hyperlink>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jd.htm">
              <w:r>
                <w:rPr>
                  <w:rStyle w:val="InternetLink"/>
                  <w:rFonts w:ascii="Times New Roman;serif" w:hAnsi="Times New Roman;serif"/>
                  <w:b w:val="false"/>
                  <w:color w:val="0E32E1"/>
                  <w:sz w:val="20"/>
                </w:rPr>
                <w:t>5.1*</w:t>
              </w:r>
            </w:hyperlink>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jd.htm">
              <w:r>
                <w:rPr>
                  <w:rStyle w:val="InternetLink"/>
                  <w:rFonts w:ascii="Times New Roman;serif" w:hAnsi="Times New Roman;serif"/>
                  <w:b w:val="false"/>
                  <w:color w:val="0E32E1"/>
                  <w:sz w:val="20"/>
                  <w:u w:val="single"/>
                </w:rPr>
                <w:t>Opinion of Jones Day</w:t>
              </w:r>
            </w:hyperlink>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kpmgconsent.htm">
              <w:r>
                <w:rPr>
                  <w:rStyle w:val="InternetLink"/>
                  <w:rFonts w:ascii="Times New Roman;serif" w:hAnsi="Times New Roman;serif"/>
                  <w:b w:val="false"/>
                  <w:color w:val="0E32E1"/>
                  <w:sz w:val="20"/>
                </w:rPr>
                <w:t>23.1*</w:t>
              </w:r>
            </w:hyperlink>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kpmgconsent.htm">
              <w:r>
                <w:rPr>
                  <w:rStyle w:val="InternetLink"/>
                  <w:rFonts w:ascii="Times New Roman;serif" w:hAnsi="Times New Roman;serif"/>
                  <w:b w:val="false"/>
                  <w:color w:val="0000FF"/>
                  <w:sz w:val="20"/>
                  <w:u w:val="single"/>
                </w:rPr>
                <w:t>Consent of KPMG LLP</w:t>
              </w:r>
            </w:hyperlink>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23.2*</w:t>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Consent of Jones Day (Included in Exhibit 5.1)</w:t>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E32E1"/>
                  <w:sz w:val="20"/>
                </w:rPr>
                <w:t>107*</w:t>
              </w:r>
            </w:hyperlink>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E32E1"/>
                  <w:sz w:val="20"/>
                  <w:u w:val="single"/>
                </w:rPr>
                <w:t xml:space="preserve">Filing Fee Table </w:t>
              </w:r>
            </w:hyperlink>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9. Undertakings.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    The undersigned Registrant hereby undertakes: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    To include any prospectus required by Section 10(a)(3) of the Securities Act;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240"/>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Eagle, State of Idaho, on this 23rd day of September 2026. </w:t>
      </w:r>
    </w:p>
    <w:p>
      <w:pPr>
        <w:pStyle w:val="TextBody"/>
        <w:bidi w:val="0"/>
        <w:spacing w:lineRule="auto" w:line="288" w:before="600" w:after="200"/>
        <w:jc w:val="left"/>
        <w:rPr>
          <w:rFonts w:ascii="Times New Roman;serif" w:hAnsi="Times New Roman;serif"/>
          <w:b/>
          <w:color w:val="000000"/>
          <w:sz w:val="20"/>
        </w:rPr>
      </w:pPr>
      <w:r>
        <w:rPr>
          <w:rFonts w:ascii="Times New Roman;serif" w:hAnsi="Times New Roman;serif"/>
          <w:b/>
          <w:color w:val="000000"/>
          <w:sz w:val="20"/>
        </w:rPr>
        <w:t>LAMB WESTON HOLDINGS, INC.</w:t>
      </w:r>
    </w:p>
    <w:p>
      <w:pPr>
        <w:pStyle w:val="TextBody"/>
        <w:bidi w:val="0"/>
        <w:spacing w:lineRule="auto" w:line="288" w:before="600" w:after="283"/>
        <w:ind w:left="0" w:right="0" w:hanging="360"/>
        <w:jc w:val="left"/>
        <w:rPr/>
      </w:pPr>
      <w:r>
        <w:rPr>
          <w:rFonts w:ascii="Times New Roman;serif" w:hAnsi="Times New Roman;serif"/>
          <w:b w:val="false"/>
          <w:color w:val="000000"/>
          <w:sz w:val="20"/>
        </w:rPr>
        <w:t xml:space="preserve">By: </w:t>
      </w:r>
      <w:r>
        <w:rPr>
          <w:color w:val="000000"/>
          <w:u w:val="single"/>
        </w:rPr>
        <w:t>     </w:t>
      </w:r>
      <w:r>
        <w:rPr>
          <w:rFonts w:ascii="Times New Roman;serif" w:hAnsi="Times New Roman;serif"/>
          <w:b w:val="false"/>
          <w:color w:val="000000"/>
          <w:sz w:val="20"/>
          <w:u w:val="single"/>
        </w:rPr>
        <w:t>/s/ Michael J. Smith    </w:t>
      </w:r>
      <w:r>
        <w:rPr>
          <w:rFonts w:ascii="Times New Roman;serif" w:hAnsi="Times New Roman;serif"/>
          <w:b w:val="false"/>
          <w:color w:val="000000"/>
          <w:sz w:val="20"/>
        </w:rPr>
        <w:br/>
        <w:t>Michael J. Smith</w:t>
        <w:br/>
        <w:t>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this Registration Statement has been signed by the following persons in the capacities indicated as of September 23, 2026. </w:t>
      </w:r>
    </w:p>
    <w:tbl>
      <w:tblPr>
        <w:tblW w:w="6446" w:type="dxa"/>
        <w:jc w:val="left"/>
        <w:tblInd w:w="0" w:type="dxa"/>
        <w:tblLayout w:type="fixed"/>
        <w:tblCellMar>
          <w:top w:w="28" w:type="dxa"/>
          <w:left w:w="28" w:type="dxa"/>
          <w:bottom w:w="28" w:type="dxa"/>
          <w:right w:w="28" w:type="dxa"/>
        </w:tblCellMar>
      </w:tblPr>
      <w:tblGrid>
        <w:gridCol w:w="782"/>
        <w:gridCol w:w="687"/>
        <w:gridCol w:w="691"/>
        <w:gridCol w:w="109"/>
        <w:gridCol w:w="109"/>
        <w:gridCol w:w="109"/>
        <w:gridCol w:w="1152"/>
        <w:gridCol w:w="1152"/>
        <w:gridCol w:w="1655"/>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D. Gray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D. Gray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and Controller </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Jan E.B. Craps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 E.B. Craps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A. Alford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A. Alford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J. Bensen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Bensen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André J. Hawaux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André J. Hawaux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Ruth Kimmelshue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Ruth Kimmelshue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E. Kurzius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E. Kurzius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R. McLevish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R. McLevish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Hala G. Moddelmog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Hala G. Moddelmog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Ostfeld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Ostfeld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Norman Prestage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Norman Prestage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107</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Calculation of Filing Fee Table</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88" w:before="160" w:after="283"/>
        <w:jc w:val="center"/>
        <w:rPr>
          <w:rFonts w:ascii="Times New Roman;serif" w:hAnsi="Times New Roman;serif"/>
          <w:b/>
          <w:color w:val="000000"/>
          <w:sz w:val="27"/>
        </w:rPr>
      </w:pPr>
      <w:r>
        <w:rPr>
          <w:rFonts w:ascii="Times New Roman;serif" w:hAnsi="Times New Roman;serif"/>
          <w:b/>
          <w:color w:val="000000"/>
          <w:sz w:val="27"/>
        </w:rPr>
        <w:t>LAMB WESTON HOLDINGS,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Table 1: Newly Registered Securities</w:t>
      </w:r>
    </w:p>
    <w:tbl>
      <w:tblPr>
        <w:tblW w:w="10205" w:type="dxa"/>
        <w:jc w:val="left"/>
        <w:tblInd w:w="0" w:type="dxa"/>
        <w:tblLayout w:type="fixed"/>
        <w:tblCellMar>
          <w:top w:w="28" w:type="dxa"/>
          <w:left w:w="28" w:type="dxa"/>
          <w:bottom w:w="28" w:type="dxa"/>
          <w:right w:w="28" w:type="dxa"/>
        </w:tblCellMar>
      </w:tblPr>
      <w:tblGrid>
        <w:gridCol w:w="323"/>
        <w:gridCol w:w="284"/>
        <w:gridCol w:w="285"/>
        <w:gridCol w:w="433"/>
        <w:gridCol w:w="394"/>
        <w:gridCol w:w="395"/>
        <w:gridCol w:w="401"/>
        <w:gridCol w:w="401"/>
        <w:gridCol w:w="402"/>
        <w:gridCol w:w="430"/>
        <w:gridCol w:w="430"/>
        <w:gridCol w:w="432"/>
        <w:gridCol w:w="481"/>
        <w:gridCol w:w="481"/>
        <w:gridCol w:w="482"/>
        <w:gridCol w:w="881"/>
        <w:gridCol w:w="443"/>
        <w:gridCol w:w="445"/>
        <w:gridCol w:w="329"/>
        <w:gridCol w:w="329"/>
        <w:gridCol w:w="333"/>
        <w:gridCol w:w="403"/>
        <w:gridCol w:w="403"/>
        <w:gridCol w:w="585"/>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Type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Class Title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 Calculation Rule</w:t>
            </w:r>
          </w:p>
          <w:p>
            <w:pPr>
              <w:pStyle w:val="TableContents"/>
              <w:bidi w:val="0"/>
              <w:spacing w:before="0" w:after="0"/>
              <w:jc w:val="center"/>
              <w:rPr/>
            </w:pPr>
            <w:r>
              <w:rPr/>
            </w:r>
          </w:p>
          <w:p>
            <w:pPr>
              <w:pStyle w:val="TableContents"/>
              <w:bidi w:val="0"/>
              <w:spacing w:before="0" w:after="0"/>
              <w:jc w:val="center"/>
              <w:rPr/>
            </w:pPr>
            <w:r>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Amount Registered</w:t>
            </w:r>
            <w:r>
              <w:rPr>
                <w:color w:val="000000"/>
              </w:rPr>
              <w:t> </w:t>
            </w:r>
            <w:r>
              <w:rPr>
                <w:rFonts w:ascii="Times New Roman;serif" w:hAnsi="Times New Roman;serif"/>
                <w:b w:val="false"/>
                <w:color w:val="000000"/>
                <w:sz w:val="13"/>
              </w:rPr>
              <w:t>(1)</w:t>
            </w:r>
          </w:p>
          <w:p>
            <w:pPr>
              <w:pStyle w:val="TableContents"/>
              <w:bidi w:val="0"/>
              <w:spacing w:before="0" w:after="0"/>
              <w:jc w:val="center"/>
              <w:rPr/>
            </w:pPr>
            <w:r>
              <w:rPr/>
            </w:r>
          </w:p>
          <w:p>
            <w:pPr>
              <w:pStyle w:val="TableContents"/>
              <w:bidi w:val="0"/>
              <w:spacing w:before="0" w:after="0"/>
              <w:jc w:val="center"/>
              <w:rPr/>
            </w:pPr>
            <w:r>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Proposed Maximum Offering Price Per Share</w:t>
            </w:r>
            <w:r>
              <w:rPr>
                <w:color w:val="000000"/>
              </w:rPr>
              <w:t xml:space="preserve"> </w:t>
            </w:r>
            <w:r>
              <w:rPr>
                <w:rFonts w:ascii="Times New Roman;serif" w:hAnsi="Times New Roman;serif"/>
                <w:b w:val="false"/>
                <w:color w:val="000000"/>
                <w:sz w:val="13"/>
              </w:rPr>
              <w:t>(2)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Maximum Aggregate Offering Price</w:t>
            </w:r>
            <w:r>
              <w:rPr>
                <w:color w:val="000000"/>
              </w:rPr>
              <w:t xml:space="preserve"> </w:t>
            </w:r>
            <w:r>
              <w:rPr>
                <w:rFonts w:ascii="Times New Roman;serif" w:hAnsi="Times New Roman;serif"/>
                <w:b w:val="false"/>
                <w:color w:val="000000"/>
                <w:sz w:val="13"/>
              </w:rPr>
              <w:t>(2)</w:t>
            </w:r>
          </w:p>
          <w:p>
            <w:pPr>
              <w:pStyle w:val="TableContents"/>
              <w:bidi w:val="0"/>
              <w:spacing w:lineRule="auto" w:line="288" w:before="0" w:after="0"/>
              <w:jc w:val="center"/>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 Rate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 of Registration Fee</w:t>
            </w:r>
          </w:p>
          <w:p>
            <w:pPr>
              <w:pStyle w:val="TableContents"/>
              <w:bidi w:val="0"/>
              <w:spacing w:before="0" w:after="0"/>
              <w:jc w:val="center"/>
              <w:rPr/>
            </w:pPr>
            <w:r>
              <w:rPr/>
            </w:r>
          </w:p>
          <w:p>
            <w:pPr>
              <w:pStyle w:val="TableContents"/>
              <w:bidi w:val="0"/>
              <w:spacing w:before="0" w:after="0"/>
              <w:jc w:val="center"/>
              <w:rPr/>
            </w:pPr>
            <w:r>
              <w:rPr/>
            </w:r>
          </w:p>
        </w:tc>
      </w:tr>
      <w:tr>
        <w:trPr/>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3,945,389</w:t>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$46.285</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$182,612,329.87</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$25,218.77</w:t>
            </w:r>
          </w:p>
        </w:tc>
      </w:tr>
      <w:tr>
        <w:trPr/>
        <w:tc>
          <w:tcPr>
            <w:tcW w:w="4610"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$182,612,329.87</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25,218.77</w:t>
            </w:r>
          </w:p>
        </w:tc>
      </w:tr>
      <w:tr>
        <w:trPr/>
        <w:tc>
          <w:tcPr>
            <w:tcW w:w="4610"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Total Fee Offsets</w:t>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300" w:before="0" w:after="160"/>
              <w:jc w:val="center"/>
              <w:rPr>
                <w:color w:val="000000"/>
              </w:rPr>
            </w:pPr>
            <w:r>
              <w:rPr>
                <w:color w:val="000000"/>
              </w:rPr>
              <w:t>—</w:t>
            </w:r>
          </w:p>
        </w:tc>
      </w:tr>
      <w:tr>
        <w:trPr/>
        <w:tc>
          <w:tcPr>
            <w:tcW w:w="4610"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Net Fee Due</w:t>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$25,218.77</w:t>
            </w:r>
          </w:p>
        </w:tc>
      </w:tr>
    </w:tbl>
    <w:p>
      <w:pPr>
        <w:pStyle w:val="TextBody"/>
        <w:bidi w:val="0"/>
        <w:spacing w:lineRule="auto" w:line="288" w:before="160" w:after="283"/>
        <w:ind w:left="0" w:right="0" w:hanging="374"/>
        <w:jc w:val="both"/>
        <w:rPr/>
      </w:pPr>
      <w:r>
        <w:rPr>
          <w:rFonts w:ascii="Times New Roman;serif" w:hAnsi="Times New Roman;serif"/>
          <w:b w:val="false"/>
          <w:color w:val="000000"/>
          <w:sz w:val="13"/>
        </w:rPr>
        <w:t>(1)</w:t>
      </w:r>
      <w:r>
        <w:rPr>
          <w:rFonts w:ascii="Times New Roman;serif" w:hAnsi="Times New Roman;serif"/>
          <w:b w:val="false"/>
          <w:color w:val="000000"/>
          <w:sz w:val="20"/>
        </w:rPr>
        <w:t>Pursuant to Rule 416(a) of the Securities Act of 1933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this Registration Statement also covers such indeterminable number of additional shares of common stock, par value $1.00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xml:space="preserve">), that become issuable under the Lamb Weston Holdings, Inc. 2026 Equity and Incentive Compensation Plan (the </w:t>
      </w:r>
      <w:r>
        <w:rPr>
          <w:color w:val="000000"/>
        </w:rPr>
        <w:t>“</w:t>
      </w:r>
      <w:r>
        <w:rPr>
          <w:rFonts w:ascii="Times New Roman;serif" w:hAnsi="Times New Roman;serif"/>
          <w:b/>
          <w:i/>
          <w:color w:val="000000"/>
          <w:sz w:val="20"/>
        </w:rPr>
        <w:t>Plan”</w:t>
      </w:r>
      <w:r>
        <w:rPr>
          <w:rFonts w:ascii="Times New Roman;serif" w:hAnsi="Times New Roman;serif"/>
          <w:b w:val="false"/>
          <w:color w:val="000000"/>
          <w:sz w:val="20"/>
        </w:rPr>
        <w:t xml:space="preserve">), by reason of any stock dividend, stock split, recapitalization of any other similar transaction effected that results in an increase to the number of outstanding shares of Common Stock. </w:t>
      </w:r>
    </w:p>
    <w:p>
      <w:pPr>
        <w:pStyle w:val="TextBody"/>
        <w:bidi w:val="0"/>
        <w:spacing w:lineRule="auto" w:line="288" w:before="160" w:after="283"/>
        <w:ind w:left="0" w:right="0" w:hanging="375"/>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Estimated in accordance with Rule 457(c) and Rule 457 (h) under the Securities Act, solely for the purpose of calculating the registration fee, based on the average of the $46.80 (high) and $45.77 (low) sales prices of the Common Stock as reported on The New York Stock Exchange on September 18, 2026, which date is within five business days prior to the date of filing of this Registration Statement.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4.4</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LAMB WESTON HOLDINGS,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2026 EQUITY AND INCENTIVE COMPENSATION PLAN</w:t>
      </w:r>
    </w:p>
    <w:p>
      <w:pPr>
        <w:pStyle w:val="TextBody"/>
        <w:bidi w:val="0"/>
        <w:spacing w:before="0" w:after="0"/>
        <w:jc w:val="left"/>
        <w:rPr/>
      </w:pPr>
      <w:r>
        <w:rPr/>
      </w:r>
    </w:p>
    <w:p>
      <w:pPr>
        <w:pStyle w:val="TextBody"/>
        <w:bidi w:val="0"/>
        <w:spacing w:lineRule="auto" w:line="240" w:before="0" w:after="240"/>
        <w:jc w:val="center"/>
        <w:rPr/>
      </w:pPr>
      <w:r>
        <w:rPr>
          <w:rFonts w:ascii="Arial;sans-serif" w:hAnsi="Arial;sans-serif"/>
          <w:b/>
          <w:color w:val="000000"/>
          <w:sz w:val="20"/>
        </w:rPr>
        <w:t>SECTION 1.</w:t>
      </w:r>
      <w:r>
        <w:rPr>
          <w:rFonts w:ascii="Arial;sans-serif" w:hAnsi="Arial;sans-serif"/>
          <w:b/>
          <w:color w:val="000000"/>
          <w:sz w:val="20"/>
        </w:rPr>
        <w:t xml:space="preserve">NAME AND PURPOSE </w:t>
      </w:r>
    </w:p>
    <w:p>
      <w:pPr>
        <w:pStyle w:val="TextBody"/>
        <w:bidi w:val="0"/>
        <w:spacing w:lineRule="auto" w:line="288" w:before="140" w:after="283"/>
        <w:ind w:left="0" w:right="0" w:firstLine="720"/>
        <w:jc w:val="left"/>
        <w:rPr/>
      </w:pPr>
      <w:r>
        <w:rPr>
          <w:rFonts w:ascii="Arial;sans-serif" w:hAnsi="Arial;sans-serif"/>
          <w:b w:val="false"/>
          <w:color w:val="000000"/>
          <w:sz w:val="20"/>
        </w:rPr>
        <w:t>1.1</w:t>
      </w:r>
      <w:r>
        <w:rPr>
          <w:rFonts w:ascii="Arial;sans-serif" w:hAnsi="Arial;sans-serif"/>
          <w:b w:val="false"/>
          <w:color w:val="000000"/>
          <w:sz w:val="20"/>
          <w:u w:val="single"/>
        </w:rPr>
        <w:t>Name</w:t>
      </w:r>
      <w:r>
        <w:rPr>
          <w:rFonts w:ascii="Arial;sans-serif" w:hAnsi="Arial;sans-serif"/>
          <w:b w:val="false"/>
          <w:color w:val="000000"/>
          <w:sz w:val="20"/>
        </w:rPr>
        <w:t>. The name of the plan shall be the Lamb Weston Holdings, Inc. 2026 Equity and Incentive Compensation Plan (the “</w:t>
      </w:r>
      <w:r>
        <w:rPr>
          <w:rFonts w:ascii="Arial;sans-serif" w:hAnsi="Arial;sans-serif"/>
          <w:b/>
          <w:i/>
          <w:color w:val="000000"/>
          <w:sz w:val="20"/>
        </w:rPr>
        <w:t>Plan</w:t>
      </w:r>
      <w:r>
        <w:rPr>
          <w:color w:val="000000"/>
        </w:rPr>
        <w:t>”</w:t>
      </w:r>
      <w:r>
        <w:rPr>
          <w:rFonts w:ascii="Arial;sans-serif" w:hAnsi="Arial;sans-serif"/>
          <w:b w:val="false"/>
          <w:color w:val="000000"/>
          <w:sz w:val="20"/>
        </w:rPr>
        <w:t xml:space="preserve">). </w:t>
      </w:r>
    </w:p>
    <w:p>
      <w:pPr>
        <w:pStyle w:val="TextBody"/>
        <w:bidi w:val="0"/>
        <w:spacing w:lineRule="auto" w:line="288" w:before="140" w:after="283"/>
        <w:ind w:left="0" w:right="0" w:firstLine="720"/>
        <w:jc w:val="left"/>
        <w:rPr/>
      </w:pPr>
      <w:r>
        <w:rPr>
          <w:rFonts w:ascii="Arial;sans-serif" w:hAnsi="Arial;sans-serif"/>
          <w:b w:val="false"/>
          <w:color w:val="000000"/>
          <w:sz w:val="20"/>
        </w:rPr>
        <w:t>1.2</w:t>
      </w:r>
      <w:r>
        <w:rPr>
          <w:rFonts w:ascii="Arial;sans-serif" w:hAnsi="Arial;sans-serif"/>
          <w:b w:val="false"/>
          <w:color w:val="000000"/>
          <w:sz w:val="20"/>
          <w:u w:val="single"/>
        </w:rPr>
        <w:t xml:space="preserve">Purpose of Plan. </w:t>
      </w:r>
      <w:r>
        <w:rPr>
          <w:rFonts w:ascii="Arial;sans-serif" w:hAnsi="Arial;sans-serif"/>
          <w:b w:val="false"/>
          <w:color w:val="000000"/>
          <w:sz w:val="20"/>
        </w:rPr>
        <w:t xml:space="preserve">The purpose of the Plan is to foster and promote the long-term financial success of the Company and to help increase stockholder value by (a) motivating performance by means of stock incentives, (b) encouraging and providing for the acquisition of an ownership interest in the Company by Participants and (c) enabling the Company to attract and retain the services of a management team responsible for the long-term financial success of the Company. </w:t>
      </w:r>
    </w:p>
    <w:p>
      <w:pPr>
        <w:pStyle w:val="TextBody"/>
        <w:bidi w:val="0"/>
        <w:spacing w:lineRule="auto" w:line="288" w:before="140" w:after="283"/>
        <w:jc w:val="center"/>
        <w:rPr/>
      </w:pPr>
      <w:r>
        <w:rPr>
          <w:rFonts w:ascii="Arial;sans-serif" w:hAnsi="Arial;sans-serif"/>
          <w:b/>
          <w:color w:val="000000"/>
          <w:sz w:val="20"/>
        </w:rPr>
        <w:t>SECTION 2.</w:t>
      </w:r>
      <w:r>
        <w:rPr>
          <w:rFonts w:ascii="Arial;sans-serif" w:hAnsi="Arial;sans-serif"/>
          <w:b/>
          <w:color w:val="000000"/>
          <w:sz w:val="20"/>
        </w:rPr>
        <w:t xml:space="preserve">DEFINITIONS </w:t>
      </w:r>
    </w:p>
    <w:p>
      <w:pPr>
        <w:pStyle w:val="TextBody"/>
        <w:bidi w:val="0"/>
        <w:spacing w:lineRule="auto" w:line="288" w:before="140" w:after="283"/>
        <w:ind w:left="0" w:right="0" w:firstLine="720"/>
        <w:jc w:val="left"/>
        <w:rPr/>
      </w:pPr>
      <w:r>
        <w:rPr>
          <w:rFonts w:ascii="Arial;sans-serif" w:hAnsi="Arial;sans-serif"/>
          <w:b w:val="false"/>
          <w:color w:val="000000"/>
          <w:sz w:val="20"/>
        </w:rPr>
        <w:t>2.1</w:t>
      </w:r>
      <w:r>
        <w:rPr>
          <w:rFonts w:ascii="Arial;sans-serif" w:hAnsi="Arial;sans-serif"/>
          <w:b w:val="false"/>
          <w:color w:val="000000"/>
          <w:sz w:val="20"/>
          <w:u w:val="single"/>
        </w:rPr>
        <w:t>Definitions</w:t>
      </w:r>
      <w:r>
        <w:rPr>
          <w:rFonts w:ascii="Arial;sans-serif" w:hAnsi="Arial;sans-serif"/>
          <w:b w:val="false"/>
          <w:color w:val="000000"/>
          <w:sz w:val="20"/>
        </w:rPr>
        <w:t xml:space="preserve">. Whenever used herein, the following terms shall have the respective meanings set forth below: </w:t>
      </w:r>
    </w:p>
    <w:p>
      <w:pPr>
        <w:pStyle w:val="TextBody"/>
        <w:bidi w:val="0"/>
        <w:spacing w:lineRule="auto" w:line="288" w:before="140" w:after="283"/>
        <w:jc w:val="left"/>
        <w:rPr/>
      </w:pPr>
      <w:r>
        <w:rPr>
          <w:rFonts w:ascii="Arial;sans-serif" w:hAnsi="Arial;sans-serif"/>
          <w:b w:val="false"/>
          <w:color w:val="000000"/>
          <w:sz w:val="20"/>
        </w:rPr>
        <w:t>(a)</w:t>
      </w:r>
      <w:r>
        <w:rPr>
          <w:color w:val="000000"/>
        </w:rPr>
        <w:t>“</w:t>
      </w:r>
      <w:r>
        <w:rPr>
          <w:rFonts w:ascii="Arial;sans-serif" w:hAnsi="Arial;sans-serif"/>
          <w:b/>
          <w:i/>
          <w:color w:val="000000"/>
          <w:sz w:val="20"/>
        </w:rPr>
        <w:t>Act</w:t>
      </w:r>
      <w:r>
        <w:rPr>
          <w:color w:val="000000"/>
        </w:rPr>
        <w:t xml:space="preserve">” </w:t>
      </w:r>
      <w:r>
        <w:rPr>
          <w:rFonts w:ascii="Arial;sans-serif" w:hAnsi="Arial;sans-serif"/>
          <w:b w:val="false"/>
          <w:color w:val="000000"/>
          <w:sz w:val="20"/>
        </w:rPr>
        <w:t xml:space="preserve">means the Securities Exchange Act of 1934, as amended. Any reference to a particular section of the Act shall include all successor sections and shall also be deemed to include all related regulations, rules and interpretations. </w:t>
      </w:r>
    </w:p>
    <w:p>
      <w:pPr>
        <w:pStyle w:val="TextBody"/>
        <w:bidi w:val="0"/>
        <w:spacing w:lineRule="auto" w:line="288" w:before="140" w:after="283"/>
        <w:jc w:val="left"/>
        <w:rPr/>
      </w:pPr>
      <w:r>
        <w:rPr>
          <w:rFonts w:ascii="Arial;sans-serif" w:hAnsi="Arial;sans-serif"/>
          <w:b w:val="false"/>
          <w:color w:val="000000"/>
          <w:sz w:val="20"/>
        </w:rPr>
        <w:t>(b)</w:t>
      </w:r>
      <w:r>
        <w:rPr>
          <w:color w:val="000000"/>
        </w:rPr>
        <w:t>“</w:t>
      </w:r>
      <w:r>
        <w:rPr>
          <w:rFonts w:ascii="Arial;sans-serif" w:hAnsi="Arial;sans-serif"/>
          <w:b/>
          <w:i/>
          <w:color w:val="000000"/>
          <w:sz w:val="20"/>
        </w:rPr>
        <w:t>Agreement</w:t>
      </w:r>
      <w:r>
        <w:rPr>
          <w:color w:val="000000"/>
        </w:rPr>
        <w:t xml:space="preserve">” </w:t>
      </w:r>
      <w:r>
        <w:rPr>
          <w:rFonts w:ascii="Arial;sans-serif" w:hAnsi="Arial;sans-serif"/>
          <w:b w:val="false"/>
          <w:color w:val="000000"/>
          <w:sz w:val="20"/>
        </w:rPr>
        <w:t xml:space="preserve">means the agreement, certificate, resolution or other type or form of writing or other evidence approved by the Committee that sets forth the terms and conditions of one or more Awards granted to a Participant under the Plan. An Agreement may be in any electronic medium, may be limited to a notation on the books and records of the Company and, unless otherwise determined by the Committee, need not be signed by a representative of the Company or a Participant. </w:t>
      </w:r>
    </w:p>
    <w:p>
      <w:pPr>
        <w:pStyle w:val="TextBody"/>
        <w:bidi w:val="0"/>
        <w:spacing w:lineRule="auto" w:line="288" w:before="140" w:after="283"/>
        <w:jc w:val="left"/>
        <w:rPr/>
      </w:pPr>
      <w:r>
        <w:rPr>
          <w:rFonts w:ascii="Arial;sans-serif" w:hAnsi="Arial;sans-serif"/>
          <w:b w:val="false"/>
          <w:color w:val="000000"/>
          <w:sz w:val="20"/>
        </w:rPr>
        <w:t>(c)</w:t>
      </w:r>
      <w:r>
        <w:rPr>
          <w:color w:val="000000"/>
        </w:rPr>
        <w:t>“</w:t>
      </w:r>
      <w:r>
        <w:rPr>
          <w:rFonts w:ascii="Arial;sans-serif" w:hAnsi="Arial;sans-serif"/>
          <w:b/>
          <w:i/>
          <w:color w:val="000000"/>
          <w:sz w:val="20"/>
        </w:rPr>
        <w:t>Award</w:t>
      </w:r>
      <w:r>
        <w:rPr>
          <w:color w:val="000000"/>
        </w:rPr>
        <w:t xml:space="preserve">” </w:t>
      </w:r>
      <w:r>
        <w:rPr>
          <w:rFonts w:ascii="Arial;sans-serif" w:hAnsi="Arial;sans-serif"/>
          <w:b w:val="false"/>
          <w:color w:val="000000"/>
          <w:sz w:val="20"/>
        </w:rPr>
        <w:t xml:space="preserve">means any Cash Incentive Award, Option, SAR, Restricted Stock, Restricted Stock Unit, Performance Share or Other Stock-Based Award granted under the Plan, including Awards combining two or more types of the foregoing Awards in a single grant. </w:t>
      </w:r>
    </w:p>
    <w:p>
      <w:pPr>
        <w:pStyle w:val="TextBody"/>
        <w:bidi w:val="0"/>
        <w:spacing w:lineRule="auto" w:line="288" w:before="140" w:after="283"/>
        <w:jc w:val="left"/>
        <w:rPr/>
      </w:pPr>
      <w:r>
        <w:rPr>
          <w:rFonts w:ascii="Arial;sans-serif" w:hAnsi="Arial;sans-serif"/>
          <w:b w:val="false"/>
          <w:color w:val="000000"/>
          <w:sz w:val="20"/>
        </w:rPr>
        <w:t>(d)</w:t>
      </w:r>
      <w:r>
        <w:rPr>
          <w:color w:val="000000"/>
        </w:rPr>
        <w:t>“</w:t>
      </w:r>
      <w:r>
        <w:rPr>
          <w:rFonts w:ascii="Arial;sans-serif" w:hAnsi="Arial;sans-serif"/>
          <w:b/>
          <w:i/>
          <w:color w:val="000000"/>
          <w:sz w:val="20"/>
        </w:rPr>
        <w:t>Board</w:t>
      </w:r>
      <w:r>
        <w:rPr>
          <w:color w:val="000000"/>
        </w:rPr>
        <w:t xml:space="preserve">” </w:t>
      </w:r>
      <w:r>
        <w:rPr>
          <w:rFonts w:ascii="Arial;sans-serif" w:hAnsi="Arial;sans-serif"/>
          <w:b w:val="false"/>
          <w:color w:val="000000"/>
          <w:sz w:val="20"/>
        </w:rPr>
        <w:t xml:space="preserve">means the Board of Directors of Lamb Weston Holdings, Inc. </w:t>
      </w:r>
    </w:p>
    <w:p>
      <w:pPr>
        <w:pStyle w:val="TextBody"/>
        <w:bidi w:val="0"/>
        <w:spacing w:lineRule="auto" w:line="288" w:before="140" w:after="283"/>
        <w:jc w:val="left"/>
        <w:rPr/>
      </w:pPr>
      <w:r>
        <w:rPr>
          <w:rFonts w:ascii="Arial;sans-serif" w:hAnsi="Arial;sans-serif"/>
          <w:b w:val="false"/>
          <w:color w:val="000000"/>
          <w:sz w:val="20"/>
        </w:rPr>
        <w:t>(e)</w:t>
      </w:r>
      <w:r>
        <w:rPr>
          <w:color w:val="000000"/>
        </w:rPr>
        <w:t>“</w:t>
      </w:r>
      <w:r>
        <w:rPr>
          <w:rFonts w:ascii="Arial;sans-serif" w:hAnsi="Arial;sans-serif"/>
          <w:b/>
          <w:i/>
          <w:color w:val="000000"/>
          <w:sz w:val="20"/>
        </w:rPr>
        <w:t>Cash Incentive Award</w:t>
      </w:r>
      <w:r>
        <w:rPr>
          <w:color w:val="000000"/>
        </w:rPr>
        <w:t xml:space="preserve">” </w:t>
      </w:r>
      <w:r>
        <w:rPr>
          <w:rFonts w:ascii="Arial;sans-serif" w:hAnsi="Arial;sans-serif"/>
          <w:b w:val="false"/>
          <w:color w:val="000000"/>
          <w:sz w:val="20"/>
        </w:rPr>
        <w:t xml:space="preserve">means a cash award granted pursuant to </w:t>
      </w:r>
      <w:r>
        <w:rPr>
          <w:rFonts w:ascii="Arial;sans-serif" w:hAnsi="Arial;sans-serif"/>
          <w:b/>
          <w:color w:val="000000"/>
          <w:sz w:val="20"/>
          <w:u w:val="single"/>
        </w:rPr>
        <w:t>Section 10</w:t>
      </w:r>
      <w:r>
        <w:rPr>
          <w:color w:val="000000"/>
        </w:rPr>
        <w:t xml:space="preserve"> </w:t>
      </w:r>
      <w:r>
        <w:rPr>
          <w:rFonts w:ascii="Arial;sans-serif" w:hAnsi="Arial;sans-serif"/>
          <w:b w:val="false"/>
          <w:color w:val="000000"/>
          <w:sz w:val="20"/>
        </w:rPr>
        <w:t>of the Plan.</w:t>
      </w:r>
    </w:p>
    <w:p>
      <w:pPr>
        <w:pStyle w:val="TextBody"/>
        <w:bidi w:val="0"/>
        <w:spacing w:lineRule="auto" w:line="288" w:before="140" w:after="283"/>
        <w:jc w:val="left"/>
        <w:rPr/>
      </w:pPr>
      <w:r>
        <w:rPr>
          <w:rFonts w:ascii="Arial;sans-serif" w:hAnsi="Arial;sans-serif"/>
          <w:b w:val="false"/>
          <w:color w:val="000000"/>
          <w:sz w:val="20"/>
        </w:rPr>
        <w:t>(f)</w:t>
      </w:r>
      <w:r>
        <w:rPr>
          <w:color w:val="000000"/>
        </w:rPr>
        <w:t>“</w:t>
      </w:r>
      <w:r>
        <w:rPr>
          <w:rFonts w:ascii="Arial;sans-serif" w:hAnsi="Arial;sans-serif"/>
          <w:b/>
          <w:i/>
          <w:color w:val="000000"/>
          <w:sz w:val="20"/>
        </w:rPr>
        <w:t>Cause</w:t>
      </w:r>
      <w:r>
        <w:rPr>
          <w:color w:val="000000"/>
        </w:rPr>
        <w:t xml:space="preserve">” </w:t>
      </w:r>
      <w:r>
        <w:rPr>
          <w:rFonts w:ascii="Arial;sans-serif" w:hAnsi="Arial;sans-serif"/>
          <w:b w:val="false"/>
          <w:color w:val="000000"/>
          <w:sz w:val="20"/>
        </w:rPr>
        <w:t>means (i) the willful and continued failure by a Participant to substantially perform the Participant’s duties with the Company or its successor (other than any such failure resulting from termination by the Participant for good reason, if applicable) after a demand for substantial performance is delivered to the Participant that specifically identifies the manner in which the Company or its successor believes that the Participant has not substantially performed the Participant’s duties, and the Participant has failed to resume substantial performance of the Participant’s duties on a continuous basis within five days of receiving such demand; (ii) the willful engaging by the Participant in conduct which is demonstrably and materially injurious to the Company or its successor, monetarily or otherwise; or (iii) the Participant’s conviction of, or plea of nolo contendere to, (A) a felony or (B) a misdemeanor which impairs the Participant’s ability substantially to perform the Participant’s duties with the Company or its successor. For purposes of this definition, no act, or failure to act, on the Participant’s part shall be deemed “willful” unless done, or omitted to be done, by the Participant not in good faith and without reasonable belief that the Participant’s action or omission was in the best interest of the Company or its successor.</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r>
        <w:rPr>
          <w:rFonts w:ascii="Arial;sans-serif" w:hAnsi="Arial;sans-serif"/>
          <w:b w:val="false"/>
          <w:color w:val="000000"/>
          <w:sz w:val="20"/>
        </w:rPr>
        <w:t>(g)</w:t>
      </w:r>
      <w:r>
        <w:rPr>
          <w:color w:val="000000"/>
        </w:rPr>
        <w:t>“</w:t>
      </w:r>
      <w:r>
        <w:rPr>
          <w:rFonts w:ascii="Arial;sans-serif" w:hAnsi="Arial;sans-serif"/>
          <w:b/>
          <w:i/>
          <w:color w:val="000000"/>
          <w:sz w:val="20"/>
        </w:rPr>
        <w:t>Change of Control</w:t>
      </w:r>
      <w:r>
        <w:rPr>
          <w:color w:val="000000"/>
        </w:rPr>
        <w:t xml:space="preserve">” </w:t>
      </w:r>
      <w:r>
        <w:rPr>
          <w:rFonts w:ascii="Arial;sans-serif" w:hAnsi="Arial;sans-serif"/>
          <w:b w:val="false"/>
          <w:color w:val="000000"/>
          <w:sz w:val="20"/>
        </w:rPr>
        <w:t xml:space="preserve">has the meaning set forth in </w:t>
      </w:r>
      <w:r>
        <w:rPr>
          <w:rFonts w:ascii="Arial;sans-serif" w:hAnsi="Arial;sans-serif"/>
          <w:b/>
          <w:color w:val="000000"/>
          <w:sz w:val="20"/>
          <w:u w:val="single"/>
        </w:rPr>
        <w:t>Section 12.5</w:t>
      </w:r>
      <w:r>
        <w:rPr>
          <w:rFonts w:ascii="Arial;sans-serif" w:hAnsi="Arial;sans-serif"/>
          <w:b/>
          <w:color w:val="000000"/>
          <w:sz w:val="20"/>
        </w:rPr>
        <w:t>.</w:t>
      </w:r>
      <w:r>
        <w:rPr>
          <w:color w:val="000000"/>
        </w:rPr>
        <w:t> </w:t>
      </w:r>
    </w:p>
    <w:p>
      <w:pPr>
        <w:pStyle w:val="TextBody"/>
        <w:bidi w:val="0"/>
        <w:spacing w:lineRule="auto" w:line="288" w:before="140" w:after="283"/>
        <w:jc w:val="left"/>
        <w:rPr/>
      </w:pPr>
      <w:r>
        <w:rPr>
          <w:rFonts w:ascii="Arial;sans-serif" w:hAnsi="Arial;sans-serif"/>
          <w:b w:val="false"/>
          <w:color w:val="000000"/>
          <w:sz w:val="20"/>
        </w:rPr>
        <w:t>(h)</w:t>
      </w:r>
      <w:r>
        <w:rPr>
          <w:color w:val="000000"/>
        </w:rPr>
        <w:t>“</w:t>
      </w:r>
      <w:r>
        <w:rPr>
          <w:rFonts w:ascii="Arial;sans-serif" w:hAnsi="Arial;sans-serif"/>
          <w:b/>
          <w:i/>
          <w:color w:val="000000"/>
          <w:sz w:val="20"/>
        </w:rPr>
        <w:t>Code</w:t>
      </w:r>
      <w:r>
        <w:rPr>
          <w:color w:val="000000"/>
        </w:rPr>
        <w:t xml:space="preserve">” </w:t>
      </w:r>
      <w:r>
        <w:rPr>
          <w:rFonts w:ascii="Arial;sans-serif" w:hAnsi="Arial;sans-serif"/>
          <w:b w:val="false"/>
          <w:color w:val="000000"/>
          <w:sz w:val="20"/>
        </w:rPr>
        <w:t xml:space="preserve">means the Internal Revenue Code of 1986, as amended. Any reference to a particular section of the Code shall include all successor sections and shall also be deemed to include all related regulations, rules and interpretations. </w:t>
      </w:r>
    </w:p>
    <w:p>
      <w:pPr>
        <w:pStyle w:val="TextBody"/>
        <w:bidi w:val="0"/>
        <w:spacing w:lineRule="auto" w:line="288" w:before="140" w:after="283"/>
        <w:jc w:val="left"/>
        <w:rPr/>
      </w:pPr>
      <w:r>
        <w:rPr>
          <w:rFonts w:ascii="Arial;sans-serif" w:hAnsi="Arial;sans-serif"/>
          <w:b w:val="false"/>
          <w:color w:val="000000"/>
          <w:sz w:val="20"/>
        </w:rPr>
        <w:t>(i)</w:t>
      </w:r>
      <w:r>
        <w:rPr>
          <w:color w:val="000000"/>
        </w:rPr>
        <w:t>“</w:t>
      </w:r>
      <w:r>
        <w:rPr>
          <w:rFonts w:ascii="Arial;sans-serif" w:hAnsi="Arial;sans-serif"/>
          <w:b/>
          <w:i/>
          <w:color w:val="000000"/>
          <w:sz w:val="20"/>
        </w:rPr>
        <w:t>Committee</w:t>
      </w:r>
      <w:r>
        <w:rPr>
          <w:color w:val="000000"/>
        </w:rPr>
        <w:t xml:space="preserve">” </w:t>
      </w:r>
      <w:r>
        <w:rPr>
          <w:rFonts w:ascii="Arial;sans-serif" w:hAnsi="Arial;sans-serif"/>
          <w:b w:val="false"/>
          <w:color w:val="000000"/>
          <w:sz w:val="20"/>
        </w:rPr>
        <w:t xml:space="preserve">means the Compensation and Human Capital Committee of the Board, or its successor, or such other committee of the Board to which the Board delegates power to act under or pursuant to the provisions of the Plan. </w:t>
      </w:r>
    </w:p>
    <w:p>
      <w:pPr>
        <w:pStyle w:val="TextBody"/>
        <w:bidi w:val="0"/>
        <w:spacing w:lineRule="auto" w:line="288" w:before="140" w:after="283"/>
        <w:jc w:val="left"/>
        <w:rPr/>
      </w:pPr>
      <w:r>
        <w:rPr>
          <w:rFonts w:ascii="Arial;sans-serif" w:hAnsi="Arial;sans-serif"/>
          <w:b w:val="false"/>
          <w:color w:val="000000"/>
          <w:sz w:val="20"/>
        </w:rPr>
        <w:t>(j)</w:t>
      </w:r>
      <w:r>
        <w:rPr>
          <w:color w:val="000000"/>
        </w:rPr>
        <w:t>“</w:t>
      </w:r>
      <w:r>
        <w:rPr>
          <w:rFonts w:ascii="Arial;sans-serif" w:hAnsi="Arial;sans-serif"/>
          <w:b/>
          <w:i/>
          <w:color w:val="000000"/>
          <w:sz w:val="20"/>
        </w:rPr>
        <w:t>Company</w:t>
      </w:r>
      <w:r>
        <w:rPr>
          <w:color w:val="000000"/>
        </w:rPr>
        <w:t xml:space="preserve">” </w:t>
      </w:r>
      <w:r>
        <w:rPr>
          <w:rFonts w:ascii="Arial;sans-serif" w:hAnsi="Arial;sans-serif"/>
          <w:b w:val="false"/>
          <w:color w:val="000000"/>
          <w:sz w:val="20"/>
        </w:rPr>
        <w:t xml:space="preserve">means Lamb Weston Holdings, Inc., a Delaware corporation (and any successor thereto) and its Subsidiaries. </w:t>
      </w:r>
    </w:p>
    <w:p>
      <w:pPr>
        <w:pStyle w:val="TextBody"/>
        <w:bidi w:val="0"/>
        <w:spacing w:lineRule="auto" w:line="288" w:before="140" w:after="283"/>
        <w:jc w:val="left"/>
        <w:rPr/>
      </w:pPr>
      <w:r>
        <w:rPr>
          <w:rFonts w:ascii="Arial;sans-serif" w:hAnsi="Arial;sans-serif"/>
          <w:b w:val="false"/>
          <w:color w:val="000000"/>
          <w:sz w:val="20"/>
        </w:rPr>
        <w:t>(k)</w:t>
      </w:r>
      <w:r>
        <w:rPr>
          <w:color w:val="000000"/>
        </w:rPr>
        <w:t>“</w:t>
      </w:r>
      <w:r>
        <w:rPr>
          <w:rFonts w:ascii="Arial;sans-serif" w:hAnsi="Arial;sans-serif"/>
          <w:b/>
          <w:i/>
          <w:color w:val="000000"/>
          <w:sz w:val="20"/>
        </w:rPr>
        <w:t>Effective Date</w:t>
      </w:r>
      <w:r>
        <w:rPr>
          <w:color w:val="000000"/>
        </w:rPr>
        <w:t xml:space="preserve">” </w:t>
      </w:r>
      <w:r>
        <w:rPr>
          <w:rFonts w:ascii="Arial;sans-serif" w:hAnsi="Arial;sans-serif"/>
          <w:b w:val="false"/>
          <w:color w:val="000000"/>
          <w:sz w:val="20"/>
        </w:rPr>
        <w:t xml:space="preserve">means September 16, 2026. </w:t>
      </w:r>
    </w:p>
    <w:p>
      <w:pPr>
        <w:pStyle w:val="TextBody"/>
        <w:bidi w:val="0"/>
        <w:spacing w:lineRule="auto" w:line="288" w:before="140" w:after="283"/>
        <w:jc w:val="left"/>
        <w:rPr/>
      </w:pPr>
      <w:r>
        <w:rPr>
          <w:rFonts w:ascii="Arial;sans-serif" w:hAnsi="Arial;sans-serif"/>
          <w:b w:val="false"/>
          <w:color w:val="000000"/>
          <w:sz w:val="20"/>
        </w:rPr>
        <w:t>(l)</w:t>
      </w:r>
      <w:r>
        <w:rPr>
          <w:color w:val="000000"/>
        </w:rPr>
        <w:t>“</w:t>
      </w:r>
      <w:r>
        <w:rPr>
          <w:rFonts w:ascii="Arial;sans-serif" w:hAnsi="Arial;sans-serif"/>
          <w:b/>
          <w:i/>
          <w:color w:val="000000"/>
          <w:sz w:val="20"/>
        </w:rPr>
        <w:t>Eligible Director</w:t>
      </w:r>
      <w:r>
        <w:rPr>
          <w:color w:val="000000"/>
        </w:rPr>
        <w:t xml:space="preserve">” </w:t>
      </w:r>
      <w:r>
        <w:rPr>
          <w:rFonts w:ascii="Arial;sans-serif" w:hAnsi="Arial;sans-serif"/>
          <w:b w:val="false"/>
          <w:color w:val="000000"/>
          <w:sz w:val="20"/>
        </w:rPr>
        <w:t xml:space="preserve">means a person who is serving as a member of the Board and who is not an Employee. </w:t>
      </w:r>
    </w:p>
    <w:p>
      <w:pPr>
        <w:pStyle w:val="TextBody"/>
        <w:bidi w:val="0"/>
        <w:spacing w:lineRule="auto" w:line="288" w:before="140" w:after="283"/>
        <w:jc w:val="left"/>
        <w:rPr/>
      </w:pPr>
      <w:r>
        <w:rPr>
          <w:rFonts w:ascii="Arial;sans-serif" w:hAnsi="Arial;sans-serif"/>
          <w:b w:val="false"/>
          <w:color w:val="000000"/>
          <w:sz w:val="20"/>
        </w:rPr>
        <w:t>(m)</w:t>
      </w:r>
      <w:r>
        <w:rPr>
          <w:color w:val="000000"/>
        </w:rPr>
        <w:t>“</w:t>
      </w:r>
      <w:r>
        <w:rPr>
          <w:rFonts w:ascii="Arial;sans-serif" w:hAnsi="Arial;sans-serif"/>
          <w:b/>
          <w:i/>
          <w:color w:val="000000"/>
          <w:sz w:val="20"/>
        </w:rPr>
        <w:t>Employee</w:t>
      </w:r>
      <w:r>
        <w:rPr>
          <w:color w:val="000000"/>
        </w:rPr>
        <w:t xml:space="preserve">” </w:t>
      </w:r>
      <w:r>
        <w:rPr>
          <w:rFonts w:ascii="Arial;sans-serif" w:hAnsi="Arial;sans-serif"/>
          <w:b w:val="false"/>
          <w:color w:val="000000"/>
          <w:sz w:val="20"/>
        </w:rPr>
        <w:t xml:space="preserve">means any employee of the Company or a Subsidiary. </w:t>
      </w:r>
    </w:p>
    <w:p>
      <w:pPr>
        <w:pStyle w:val="TextBody"/>
        <w:bidi w:val="0"/>
        <w:spacing w:lineRule="auto" w:line="288" w:before="140" w:after="283"/>
        <w:jc w:val="left"/>
        <w:rPr/>
      </w:pPr>
      <w:r>
        <w:rPr>
          <w:rFonts w:ascii="Arial;sans-serif" w:hAnsi="Arial;sans-serif"/>
          <w:b w:val="false"/>
          <w:color w:val="000000"/>
          <w:sz w:val="20"/>
        </w:rPr>
        <w:t>(n)</w:t>
      </w:r>
      <w:r>
        <w:rPr>
          <w:color w:val="000000"/>
        </w:rPr>
        <w:t>“</w:t>
      </w:r>
      <w:r>
        <w:rPr>
          <w:rFonts w:ascii="Arial;sans-serif" w:hAnsi="Arial;sans-serif"/>
          <w:b/>
          <w:i/>
          <w:color w:val="000000"/>
          <w:sz w:val="20"/>
        </w:rPr>
        <w:t>Fair Market Value</w:t>
      </w:r>
      <w:r>
        <w:rPr>
          <w:color w:val="000000"/>
        </w:rPr>
        <w:t xml:space="preserve">” </w:t>
      </w:r>
      <w:r>
        <w:rPr>
          <w:rFonts w:ascii="Arial;sans-serif" w:hAnsi="Arial;sans-serif"/>
          <w:b w:val="false"/>
          <w:color w:val="000000"/>
          <w:sz w:val="20"/>
        </w:rPr>
        <w:t xml:space="preserve">means, on any date, the closing price of the Stock as reported on the New York Stock Exchange (or on such other recognized market or quotation system on which the trading prices of the Stock are principally traded or quoted at the relevant time) on such date. In the event that there are no Stock transactions reported on such exchange (or such other system) on such date, Fair Market Value means the closing price on the immediately preceding date on which Stock transactions were so reported. The Committee is authorized to adopt another Fair Market Value pricing method, provided such method is stated in the Agreement, and is in compliance with the fair market value pricing rules set forth in Code Section 409A. </w:t>
      </w:r>
    </w:p>
    <w:p>
      <w:pPr>
        <w:pStyle w:val="TextBody"/>
        <w:bidi w:val="0"/>
        <w:spacing w:lineRule="auto" w:line="288" w:before="140" w:after="283"/>
        <w:jc w:val="left"/>
        <w:rPr/>
      </w:pPr>
      <w:r>
        <w:rPr>
          <w:rFonts w:ascii="Arial;sans-serif" w:hAnsi="Arial;sans-serif"/>
          <w:b w:val="false"/>
          <w:color w:val="000000"/>
          <w:sz w:val="20"/>
        </w:rPr>
        <w:t>(o)</w:t>
      </w:r>
      <w:r>
        <w:rPr>
          <w:color w:val="000000"/>
        </w:rPr>
        <w:t>“</w:t>
      </w:r>
      <w:r>
        <w:rPr>
          <w:rFonts w:ascii="Arial;sans-serif" w:hAnsi="Arial;sans-serif"/>
          <w:b/>
          <w:i/>
          <w:color w:val="000000"/>
          <w:sz w:val="20"/>
        </w:rPr>
        <w:t>Incentive Stock Options</w:t>
      </w:r>
      <w:r>
        <w:rPr>
          <w:color w:val="000000"/>
        </w:rPr>
        <w:t xml:space="preserve">” </w:t>
      </w:r>
      <w:r>
        <w:rPr>
          <w:rFonts w:ascii="Arial;sans-serif" w:hAnsi="Arial;sans-serif"/>
          <w:b w:val="false"/>
          <w:color w:val="000000"/>
          <w:sz w:val="20"/>
        </w:rPr>
        <w:t xml:space="preserve">means Options that are intended to qualify as “incentive stock options” under Code Section 422 or any successor provision. </w:t>
      </w:r>
    </w:p>
    <w:p>
      <w:pPr>
        <w:pStyle w:val="TextBody"/>
        <w:bidi w:val="0"/>
        <w:spacing w:lineRule="auto" w:line="288" w:before="140" w:after="283"/>
        <w:jc w:val="left"/>
        <w:rPr/>
      </w:pPr>
      <w:r>
        <w:rPr>
          <w:rFonts w:ascii="Arial;sans-serif" w:hAnsi="Arial;sans-serif"/>
          <w:b w:val="false"/>
          <w:color w:val="000000"/>
          <w:sz w:val="20"/>
        </w:rPr>
        <w:t>(p)</w:t>
      </w:r>
      <w:r>
        <w:rPr>
          <w:color w:val="000000"/>
        </w:rPr>
        <w:t>“</w:t>
      </w:r>
      <w:r>
        <w:rPr>
          <w:rFonts w:ascii="Arial;sans-serif" w:hAnsi="Arial;sans-serif"/>
          <w:b/>
          <w:i/>
          <w:color w:val="000000"/>
          <w:sz w:val="20"/>
        </w:rPr>
        <w:t>Incumbent Board</w:t>
      </w:r>
      <w:r>
        <w:rPr>
          <w:color w:val="000000"/>
        </w:rPr>
        <w:t xml:space="preserve">” </w:t>
      </w:r>
      <w:r>
        <w:rPr>
          <w:rFonts w:ascii="Arial;sans-serif" w:hAnsi="Arial;sans-serif"/>
          <w:b w:val="false"/>
          <w:color w:val="000000"/>
          <w:sz w:val="20"/>
        </w:rPr>
        <w:t xml:space="preserve">has the meaning set forth in </w:t>
      </w:r>
      <w:r>
        <w:rPr>
          <w:rFonts w:ascii="Arial;sans-serif" w:hAnsi="Arial;sans-serif"/>
          <w:b/>
          <w:color w:val="000000"/>
          <w:sz w:val="20"/>
          <w:u w:val="single"/>
        </w:rPr>
        <w:t>Section 12.5(a)</w:t>
      </w:r>
      <w:r>
        <w:rPr>
          <w:rFonts w:ascii="Arial;sans-serif" w:hAnsi="Arial;sans-serif"/>
          <w:b w:val="false"/>
          <w:color w:val="000000"/>
          <w:sz w:val="20"/>
        </w:rPr>
        <w:t xml:space="preserve">. </w:t>
      </w:r>
    </w:p>
    <w:p>
      <w:pPr>
        <w:pStyle w:val="TextBody"/>
        <w:bidi w:val="0"/>
        <w:spacing w:lineRule="auto" w:line="288" w:before="140" w:after="283"/>
        <w:jc w:val="left"/>
        <w:rPr/>
      </w:pPr>
      <w:r>
        <w:rPr>
          <w:rFonts w:ascii="Arial;sans-serif" w:hAnsi="Arial;sans-serif"/>
          <w:b w:val="false"/>
          <w:color w:val="000000"/>
          <w:sz w:val="20"/>
        </w:rPr>
        <w:t>(q)</w:t>
      </w:r>
      <w:r>
        <w:rPr>
          <w:color w:val="000000"/>
        </w:rPr>
        <w:t>“</w:t>
      </w:r>
      <w:r>
        <w:rPr>
          <w:rFonts w:ascii="Arial;sans-serif" w:hAnsi="Arial;sans-serif"/>
          <w:b/>
          <w:i/>
          <w:color w:val="000000"/>
          <w:sz w:val="20"/>
        </w:rPr>
        <w:t>Option</w:t>
      </w:r>
      <w:r>
        <w:rPr>
          <w:color w:val="000000"/>
        </w:rPr>
        <w:t xml:space="preserve">” </w:t>
      </w:r>
      <w:r>
        <w:rPr>
          <w:rFonts w:ascii="Arial;sans-serif" w:hAnsi="Arial;sans-serif"/>
          <w:b w:val="false"/>
          <w:color w:val="000000"/>
          <w:sz w:val="20"/>
        </w:rPr>
        <w:t xml:space="preserve">means the right to purchase Stock at a stated price for a specified period of time. For purposes of the Plan, an Option may be either (i) an Incentive Stock Option or (ii) a Nonqualified Stock Option. </w:t>
      </w:r>
    </w:p>
    <w:p>
      <w:pPr>
        <w:pStyle w:val="TextBody"/>
        <w:bidi w:val="0"/>
        <w:spacing w:lineRule="auto" w:line="288" w:before="140" w:after="283"/>
        <w:jc w:val="left"/>
        <w:rPr/>
      </w:pPr>
      <w:r>
        <w:rPr>
          <w:rFonts w:ascii="Arial;sans-serif" w:hAnsi="Arial;sans-serif"/>
          <w:b w:val="false"/>
          <w:color w:val="000000"/>
          <w:sz w:val="20"/>
        </w:rPr>
        <w:t>(r)</w:t>
      </w:r>
      <w:r>
        <w:rPr>
          <w:color w:val="000000"/>
        </w:rPr>
        <w:t>“</w:t>
      </w:r>
      <w:r>
        <w:rPr>
          <w:rFonts w:ascii="Arial;sans-serif" w:hAnsi="Arial;sans-serif"/>
          <w:b/>
          <w:i/>
          <w:color w:val="000000"/>
          <w:sz w:val="20"/>
        </w:rPr>
        <w:t>Other Stock-Based Award</w:t>
      </w:r>
      <w:r>
        <w:rPr>
          <w:color w:val="000000"/>
        </w:rPr>
        <w:t xml:space="preserve">” </w:t>
      </w:r>
      <w:r>
        <w:rPr>
          <w:rFonts w:ascii="Arial;sans-serif" w:hAnsi="Arial;sans-serif"/>
          <w:b w:val="false"/>
          <w:color w:val="000000"/>
          <w:sz w:val="20"/>
        </w:rPr>
        <w:t xml:space="preserve">means an award of a share of Stock, a unit of Stock or the right to receive Stock to a Participant that is denominated or payable in, valued in whole or in part by reference to, or is otherwise based on or related to the Fair Market Value of, a share of Stock, in each case subject to such terms and conditions as the Committee may determine. </w:t>
      </w:r>
    </w:p>
    <w:p>
      <w:pPr>
        <w:pStyle w:val="TextBody"/>
        <w:bidi w:val="0"/>
        <w:spacing w:lineRule="auto" w:line="288" w:before="140" w:after="283"/>
        <w:jc w:val="left"/>
        <w:rPr/>
      </w:pPr>
      <w:r>
        <w:rPr>
          <w:rFonts w:ascii="Arial;sans-serif" w:hAnsi="Arial;sans-serif"/>
          <w:b w:val="false"/>
          <w:color w:val="000000"/>
          <w:sz w:val="20"/>
        </w:rPr>
        <w:t>(s)</w:t>
      </w:r>
      <w:r>
        <w:rPr>
          <w:color w:val="000000"/>
        </w:rPr>
        <w:t>“</w:t>
      </w:r>
      <w:r>
        <w:rPr>
          <w:rFonts w:ascii="Arial;sans-serif" w:hAnsi="Arial;sans-serif"/>
          <w:b/>
          <w:i/>
          <w:color w:val="000000"/>
          <w:sz w:val="20"/>
        </w:rPr>
        <w:t>Participant</w:t>
      </w:r>
      <w:r>
        <w:rPr>
          <w:color w:val="000000"/>
        </w:rPr>
        <w:t xml:space="preserve">” </w:t>
      </w:r>
      <w:r>
        <w:rPr>
          <w:rFonts w:ascii="Arial;sans-serif" w:hAnsi="Arial;sans-serif"/>
          <w:b w:val="false"/>
          <w:color w:val="000000"/>
          <w:sz w:val="20"/>
        </w:rPr>
        <w:t xml:space="preserve">means any Employee, Eligible Director, or consultant (provided that such person satisfies the Form S-8 definition of an “employee”) designated by the Committee to participate in the Plan. </w:t>
      </w:r>
    </w:p>
    <w:p>
      <w:pPr>
        <w:pStyle w:val="TextBody"/>
        <w:bidi w:val="0"/>
        <w:spacing w:lineRule="auto" w:line="288" w:before="140" w:after="283"/>
        <w:jc w:val="left"/>
        <w:rPr/>
      </w:pPr>
      <w:r>
        <w:rPr>
          <w:rFonts w:ascii="Arial;sans-serif" w:hAnsi="Arial;sans-serif"/>
          <w:b w:val="false"/>
          <w:color w:val="000000"/>
          <w:sz w:val="20"/>
        </w:rPr>
        <w:t>(t)</w:t>
      </w:r>
      <w:r>
        <w:rPr>
          <w:color w:val="000000"/>
        </w:rPr>
        <w:t>“</w:t>
      </w:r>
      <w:r>
        <w:rPr>
          <w:rFonts w:ascii="Arial;sans-serif" w:hAnsi="Arial;sans-serif"/>
          <w:b/>
          <w:i/>
          <w:color w:val="000000"/>
          <w:sz w:val="20"/>
        </w:rPr>
        <w:t>Performance Share</w:t>
      </w:r>
      <w:r>
        <w:rPr>
          <w:color w:val="000000"/>
        </w:rPr>
        <w:t xml:space="preserve">” </w:t>
      </w:r>
      <w:r>
        <w:rPr>
          <w:rFonts w:ascii="Arial;sans-serif" w:hAnsi="Arial;sans-serif"/>
          <w:b w:val="false"/>
          <w:color w:val="000000"/>
          <w:sz w:val="20"/>
        </w:rPr>
        <w:t xml:space="preserve">means an Award for which the grant, issuance, retention, vesting and/or settlement is subject to the satisfaction of one or more of the performance criteria established by the Committee, if applicable. </w:t>
      </w:r>
    </w:p>
    <w:p>
      <w:pPr>
        <w:pStyle w:val="TextBody"/>
        <w:bidi w:val="0"/>
        <w:spacing w:lineRule="auto" w:line="288" w:before="140" w:after="283"/>
        <w:jc w:val="left"/>
        <w:rPr/>
      </w:pPr>
      <w:r>
        <w:rPr>
          <w:rFonts w:ascii="Arial;sans-serif" w:hAnsi="Arial;sans-serif"/>
          <w:b w:val="false"/>
          <w:color w:val="000000"/>
          <w:sz w:val="20"/>
        </w:rPr>
        <w:t>(u)</w:t>
      </w:r>
      <w:r>
        <w:rPr>
          <w:color w:val="000000"/>
        </w:rPr>
        <w:t>“</w:t>
      </w:r>
      <w:r>
        <w:rPr>
          <w:rFonts w:ascii="Arial;sans-serif" w:hAnsi="Arial;sans-serif"/>
          <w:b/>
          <w:i/>
          <w:color w:val="000000"/>
          <w:sz w:val="20"/>
        </w:rPr>
        <w:t>Plan</w:t>
      </w:r>
      <w:r>
        <w:rPr>
          <w:color w:val="000000"/>
        </w:rPr>
        <w:t xml:space="preserve">” </w:t>
      </w:r>
      <w:r>
        <w:rPr>
          <w:rFonts w:ascii="Arial;sans-serif" w:hAnsi="Arial;sans-serif"/>
          <w:b w:val="false"/>
          <w:color w:val="000000"/>
          <w:sz w:val="20"/>
        </w:rPr>
        <w:t xml:space="preserve">means this Lamb Weston Holdings, Inc. 2026 Equity and Incentive Compensation Plan, as in effect from time to time. </w:t>
      </w:r>
    </w:p>
    <w:p>
      <w:pPr>
        <w:pStyle w:val="TextBody"/>
        <w:bidi w:val="0"/>
        <w:spacing w:lineRule="auto" w:line="288" w:before="140" w:after="283"/>
        <w:jc w:val="left"/>
        <w:rPr/>
      </w:pPr>
      <w:r>
        <w:rPr>
          <w:rFonts w:ascii="Arial;sans-serif" w:hAnsi="Arial;sans-serif"/>
          <w:b w:val="false"/>
          <w:color w:val="000000"/>
          <w:sz w:val="20"/>
        </w:rPr>
        <w:t>(v)</w:t>
      </w:r>
      <w:r>
        <w:rPr>
          <w:color w:val="000000"/>
        </w:rPr>
        <w:t>“</w:t>
      </w:r>
      <w:r>
        <w:rPr>
          <w:rFonts w:ascii="Arial;sans-serif" w:hAnsi="Arial;sans-serif"/>
          <w:b/>
          <w:i/>
          <w:color w:val="000000"/>
          <w:sz w:val="20"/>
        </w:rPr>
        <w:t>Prior Plan</w:t>
      </w:r>
      <w:r>
        <w:rPr>
          <w:color w:val="000000"/>
        </w:rPr>
        <w:t xml:space="preserve">” </w:t>
      </w:r>
      <w:r>
        <w:rPr>
          <w:rFonts w:ascii="Arial;sans-serif" w:hAnsi="Arial;sans-serif"/>
          <w:b w:val="false"/>
          <w:color w:val="000000"/>
          <w:sz w:val="20"/>
        </w:rPr>
        <w:t>means the Lamb Weston Holdings, Inc. 2016 Stock Plan, as amended and restated as of July 20, 2017.</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- 2 -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- 2 -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r>
        <w:rPr>
          <w:rFonts w:ascii="Arial;sans-serif" w:hAnsi="Arial;sans-serif"/>
          <w:b w:val="false"/>
          <w:color w:val="000000"/>
          <w:sz w:val="20"/>
        </w:rPr>
        <w:t>(w)</w:t>
      </w:r>
      <w:r>
        <w:rPr>
          <w:color w:val="000000"/>
        </w:rPr>
        <w:t>“</w:t>
      </w:r>
      <w:r>
        <w:rPr>
          <w:rFonts w:ascii="Arial;sans-serif" w:hAnsi="Arial;sans-serif"/>
          <w:b/>
          <w:i/>
          <w:color w:val="000000"/>
          <w:sz w:val="20"/>
        </w:rPr>
        <w:t>Restricted Stock</w:t>
      </w:r>
      <w:r>
        <w:rPr>
          <w:color w:val="000000"/>
        </w:rPr>
        <w:t xml:space="preserve">” </w:t>
      </w:r>
      <w:r>
        <w:rPr>
          <w:rFonts w:ascii="Arial;sans-serif" w:hAnsi="Arial;sans-serif"/>
          <w:b w:val="false"/>
          <w:color w:val="000000"/>
          <w:sz w:val="20"/>
        </w:rPr>
        <w:t xml:space="preserve">means a share of Stock granted to a Participant subject to such restrictions as the Committee may determine. </w:t>
      </w:r>
    </w:p>
    <w:p>
      <w:pPr>
        <w:pStyle w:val="TextBody"/>
        <w:bidi w:val="0"/>
        <w:spacing w:lineRule="auto" w:line="288" w:before="140" w:after="283"/>
        <w:jc w:val="left"/>
        <w:rPr/>
      </w:pPr>
      <w:r>
        <w:rPr>
          <w:rFonts w:ascii="Arial;sans-serif" w:hAnsi="Arial;sans-serif"/>
          <w:b w:val="false"/>
          <w:color w:val="000000"/>
          <w:sz w:val="20"/>
        </w:rPr>
        <w:t>(x)</w:t>
      </w:r>
      <w:r>
        <w:rPr>
          <w:color w:val="000000"/>
        </w:rPr>
        <w:t>“</w:t>
      </w:r>
      <w:r>
        <w:rPr>
          <w:rFonts w:ascii="Arial;sans-serif" w:hAnsi="Arial;sans-serif"/>
          <w:b/>
          <w:i/>
          <w:color w:val="000000"/>
          <w:sz w:val="20"/>
        </w:rPr>
        <w:t>Restricted Stock Unit</w:t>
      </w:r>
      <w:r>
        <w:rPr>
          <w:color w:val="000000"/>
        </w:rPr>
        <w:t xml:space="preserve">” </w:t>
      </w:r>
      <w:r>
        <w:rPr>
          <w:rFonts w:ascii="Arial;sans-serif" w:hAnsi="Arial;sans-serif"/>
          <w:b w:val="false"/>
          <w:color w:val="000000"/>
          <w:sz w:val="20"/>
        </w:rPr>
        <w:t xml:space="preserve">means the right to receive or vest with respect to one or more shares of Stock (or cash, or a combination of Stock and cash, as determined by the Committee), subject to such terms and conditions as the Committee may establish. </w:t>
      </w:r>
    </w:p>
    <w:p>
      <w:pPr>
        <w:pStyle w:val="TextBody"/>
        <w:bidi w:val="0"/>
        <w:spacing w:lineRule="auto" w:line="288" w:before="140" w:after="283"/>
        <w:jc w:val="left"/>
        <w:rPr/>
      </w:pPr>
      <w:r>
        <w:rPr>
          <w:rFonts w:ascii="Arial;sans-serif" w:hAnsi="Arial;sans-serif"/>
          <w:b w:val="false"/>
          <w:color w:val="000000"/>
          <w:sz w:val="20"/>
        </w:rPr>
        <w:t>(y)</w:t>
      </w:r>
      <w:r>
        <w:rPr>
          <w:color w:val="000000"/>
        </w:rPr>
        <w:t>“</w:t>
      </w:r>
      <w:r>
        <w:rPr>
          <w:rFonts w:ascii="Arial;sans-serif" w:hAnsi="Arial;sans-serif"/>
          <w:b/>
          <w:i/>
          <w:color w:val="000000"/>
          <w:sz w:val="20"/>
        </w:rPr>
        <w:t>Stock</w:t>
      </w:r>
      <w:r>
        <w:rPr>
          <w:color w:val="000000"/>
        </w:rPr>
        <w:t xml:space="preserve">” </w:t>
      </w:r>
      <w:r>
        <w:rPr>
          <w:rFonts w:ascii="Arial;sans-serif" w:hAnsi="Arial;sans-serif"/>
          <w:b w:val="false"/>
          <w:color w:val="000000"/>
          <w:sz w:val="20"/>
        </w:rPr>
        <w:t xml:space="preserve">means the Common Stock of Lamb Weston Holdings, Inc., par value $1.00 per share, or any security into which such common stock may be changed by reason of any transaction or event of the type referred to in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of the Plan. </w:t>
      </w:r>
    </w:p>
    <w:p>
      <w:pPr>
        <w:pStyle w:val="TextBody"/>
        <w:bidi w:val="0"/>
        <w:spacing w:lineRule="auto" w:line="288" w:before="140" w:after="283"/>
        <w:jc w:val="left"/>
        <w:rPr/>
      </w:pPr>
      <w:r>
        <w:rPr>
          <w:rFonts w:ascii="Arial;sans-serif" w:hAnsi="Arial;sans-serif"/>
          <w:b w:val="false"/>
          <w:color w:val="000000"/>
          <w:sz w:val="20"/>
        </w:rPr>
        <w:t>(z)</w:t>
      </w:r>
      <w:r>
        <w:rPr>
          <w:color w:val="000000"/>
        </w:rPr>
        <w:t>“</w:t>
      </w:r>
      <w:r>
        <w:rPr>
          <w:rFonts w:ascii="Arial;sans-serif" w:hAnsi="Arial;sans-serif"/>
          <w:b/>
          <w:i/>
          <w:color w:val="000000"/>
          <w:sz w:val="20"/>
        </w:rPr>
        <w:t>Stock Appreciation Right</w:t>
      </w:r>
      <w:r>
        <w:rPr>
          <w:color w:val="000000"/>
        </w:rPr>
        <w:t xml:space="preserve">” </w:t>
      </w:r>
      <w:r>
        <w:rPr>
          <w:rFonts w:ascii="Arial;sans-serif" w:hAnsi="Arial;sans-serif"/>
          <w:b w:val="false"/>
          <w:color w:val="000000"/>
          <w:sz w:val="20"/>
        </w:rPr>
        <w:t>or “</w:t>
      </w:r>
      <w:r>
        <w:rPr>
          <w:rFonts w:ascii="Arial;sans-serif" w:hAnsi="Arial;sans-serif"/>
          <w:b/>
          <w:i/>
          <w:color w:val="000000"/>
          <w:sz w:val="20"/>
        </w:rPr>
        <w:t>SAR</w:t>
      </w:r>
      <w:r>
        <w:rPr>
          <w:color w:val="000000"/>
        </w:rPr>
        <w:t xml:space="preserve">” </w:t>
      </w:r>
      <w:r>
        <w:rPr>
          <w:rFonts w:ascii="Arial;sans-serif" w:hAnsi="Arial;sans-serif"/>
          <w:b w:val="false"/>
          <w:color w:val="000000"/>
          <w:sz w:val="20"/>
        </w:rPr>
        <w:t xml:space="preserve">means the right, subject to such terms and conditions as the Committee may determine, to receive an amount in cash or Stock, or a combination of the foregoing, as determined by the Committee, equal to the excess of (i) the aggregate Fair Market Value, as of the date such SAR is exercised, of the number of shares of Stock covered by the SAR being exercised over (ii) the aggregate exercise price of such SAR. </w:t>
      </w:r>
    </w:p>
    <w:p>
      <w:pPr>
        <w:pStyle w:val="TextBody"/>
        <w:bidi w:val="0"/>
        <w:spacing w:lineRule="auto" w:line="288" w:before="140" w:after="283"/>
        <w:jc w:val="left"/>
        <w:rPr/>
      </w:pPr>
      <w:r>
        <w:rPr>
          <w:rFonts w:ascii="Arial;sans-serif" w:hAnsi="Arial;sans-serif"/>
          <w:b w:val="false"/>
          <w:color w:val="000000"/>
          <w:sz w:val="20"/>
        </w:rPr>
        <w:t>(aa)</w:t>
      </w:r>
      <w:r>
        <w:rPr>
          <w:color w:val="000000"/>
        </w:rPr>
        <w:t>“</w:t>
      </w:r>
      <w:r>
        <w:rPr>
          <w:rFonts w:ascii="Arial;sans-serif" w:hAnsi="Arial;sans-serif"/>
          <w:b/>
          <w:i/>
          <w:color w:val="000000"/>
          <w:sz w:val="20"/>
        </w:rPr>
        <w:t>Subsidiary</w:t>
      </w:r>
      <w:r>
        <w:rPr>
          <w:color w:val="000000"/>
        </w:rPr>
        <w:t xml:space="preserve">” </w:t>
      </w:r>
      <w:r>
        <w:rPr>
          <w:rFonts w:ascii="Arial;sans-serif" w:hAnsi="Arial;sans-serif"/>
          <w:b w:val="false"/>
          <w:color w:val="000000"/>
          <w:sz w:val="20"/>
        </w:rPr>
        <w:t xml:space="preserve">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or unincorporated association), but more than 50% of whose ownership interest representing the right generally to make decisions for such other entity is, now or hereafter, owned or controlled, directly or indirectly, by the Company;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for purposes of determining whether any person may be a Participant for purposes of any Award of Incentive Stock Options, “Subsidiary” means any corporation in which at the time the Company owns or controls, directly or indirectly, more than 50% of the total combined Voting Power represented by all classes of stock issued by such corporation. </w:t>
      </w:r>
    </w:p>
    <w:p>
      <w:pPr>
        <w:pStyle w:val="TextBody"/>
        <w:bidi w:val="0"/>
        <w:spacing w:lineRule="auto" w:line="288" w:before="140" w:after="283"/>
        <w:jc w:val="left"/>
        <w:rPr/>
      </w:pPr>
      <w:r>
        <w:rPr>
          <w:rFonts w:ascii="Arial;sans-serif" w:hAnsi="Arial;sans-serif"/>
          <w:b w:val="false"/>
          <w:color w:val="000000"/>
          <w:sz w:val="20"/>
        </w:rPr>
        <w:t>(bb)</w:t>
      </w:r>
      <w:r>
        <w:rPr>
          <w:color w:val="000000"/>
        </w:rPr>
        <w:t>“</w:t>
      </w:r>
      <w:r>
        <w:rPr>
          <w:rFonts w:ascii="Arial;sans-serif" w:hAnsi="Arial;sans-serif"/>
          <w:b/>
          <w:i/>
          <w:color w:val="000000"/>
          <w:sz w:val="20"/>
        </w:rPr>
        <w:t>Voting Power</w:t>
      </w:r>
      <w:r>
        <w:rPr>
          <w:color w:val="000000"/>
        </w:rPr>
        <w:t xml:space="preserve">” </w:t>
      </w:r>
      <w:r>
        <w:rPr>
          <w:rFonts w:ascii="Arial;sans-serif" w:hAnsi="Arial;sans-serif"/>
          <w:b w:val="false"/>
          <w:color w:val="000000"/>
          <w:sz w:val="20"/>
        </w:rPr>
        <w:t xml:space="preserve">means, at any time, the combined voting power of the then-outstanding securities entitled to vote generally in the election of members of the Board in the case of Lamb Weston Holdings, Inc., or members of the board of directors or similar body in the case of another entity. </w:t>
      </w:r>
    </w:p>
    <w:p>
      <w:pPr>
        <w:pStyle w:val="TextBody"/>
        <w:bidi w:val="0"/>
        <w:spacing w:lineRule="auto" w:line="288" w:before="140" w:after="283"/>
        <w:ind w:left="0" w:right="0" w:firstLine="720"/>
        <w:jc w:val="left"/>
        <w:rPr/>
      </w:pPr>
      <w:r>
        <w:rPr>
          <w:rFonts w:ascii="Arial;sans-serif" w:hAnsi="Arial;sans-serif"/>
          <w:b w:val="false"/>
          <w:color w:val="000000"/>
          <w:sz w:val="20"/>
        </w:rPr>
        <w:t>2.2</w:t>
      </w:r>
      <w:r>
        <w:rPr>
          <w:rFonts w:ascii="Arial;sans-serif" w:hAnsi="Arial;sans-serif"/>
          <w:b w:val="false"/>
          <w:color w:val="000000"/>
          <w:sz w:val="20"/>
          <w:u w:val="single"/>
        </w:rPr>
        <w:t>Gender and Number</w:t>
      </w:r>
      <w:r>
        <w:rPr>
          <w:rFonts w:ascii="Arial;sans-serif" w:hAnsi="Arial;sans-serif"/>
          <w:b w:val="false"/>
          <w:color w:val="000000"/>
          <w:sz w:val="20"/>
        </w:rPr>
        <w:t xml:space="preserve">. Except when otherwise indicated by the context, words in the masculine gender used in the Plan shall include the feminine gender, the singular shall include the plural, and the plural shall include the singular. </w:t>
      </w:r>
    </w:p>
    <w:p>
      <w:pPr>
        <w:pStyle w:val="TextBody"/>
        <w:bidi w:val="0"/>
        <w:spacing w:lineRule="auto" w:line="288" w:before="140" w:after="283"/>
        <w:jc w:val="center"/>
        <w:rPr/>
      </w:pPr>
      <w:r>
        <w:rPr>
          <w:rFonts w:ascii="Arial;sans-serif" w:hAnsi="Arial;sans-serif"/>
          <w:b/>
          <w:color w:val="000000"/>
          <w:sz w:val="20"/>
        </w:rPr>
        <w:t>SECTION 3.</w:t>
      </w:r>
      <w:r>
        <w:rPr>
          <w:rFonts w:ascii="Arial;sans-serif" w:hAnsi="Arial;sans-serif"/>
          <w:b/>
          <w:color w:val="000000"/>
          <w:sz w:val="20"/>
        </w:rPr>
        <w:t xml:space="preserve">ELIGIBILITY AND PARTICIPATION </w:t>
      </w:r>
    </w:p>
    <w:p>
      <w:pPr>
        <w:pStyle w:val="TextBody"/>
        <w:bidi w:val="0"/>
        <w:spacing w:lineRule="auto" w:line="288" w:before="140" w:after="283"/>
        <w:ind w:left="0" w:right="0" w:firstLine="720"/>
        <w:jc w:val="left"/>
        <w:rPr/>
      </w:pPr>
      <w:r>
        <w:rPr>
          <w:rFonts w:ascii="Arial;sans-serif" w:hAnsi="Arial;sans-serif"/>
          <w:b w:val="false"/>
          <w:color w:val="000000"/>
          <w:sz w:val="20"/>
        </w:rPr>
        <w:t xml:space="preserve">The only persons eligible to participate in the Plan shall be those Participants selected by (a) the Committee, or (b) a designee to whom such authority has been delegated by the Committee pursuant to </w:t>
      </w:r>
      <w:r>
        <w:rPr>
          <w:rFonts w:ascii="Arial;sans-serif" w:hAnsi="Arial;sans-serif"/>
          <w:b/>
          <w:color w:val="000000"/>
          <w:sz w:val="20"/>
          <w:u w:val="single"/>
        </w:rPr>
        <w:t>Section 4.4</w:t>
      </w:r>
      <w:r>
        <w:rPr>
          <w:rFonts w:ascii="Arial;sans-serif" w:hAnsi="Arial;sans-serif"/>
          <w:b w:val="false"/>
          <w:color w:val="000000"/>
          <w:sz w:val="20"/>
        </w:rPr>
        <w:t xml:space="preserve">. </w:t>
      </w:r>
    </w:p>
    <w:p>
      <w:pPr>
        <w:pStyle w:val="TextBody"/>
        <w:bidi w:val="0"/>
        <w:spacing w:lineRule="auto" w:line="288" w:before="140" w:after="283"/>
        <w:jc w:val="center"/>
        <w:rPr/>
      </w:pPr>
      <w:r>
        <w:rPr>
          <w:rFonts w:ascii="Arial;sans-serif" w:hAnsi="Arial;sans-serif"/>
          <w:b/>
          <w:color w:val="000000"/>
          <w:sz w:val="20"/>
        </w:rPr>
        <w:t>SECTION 4.</w:t>
      </w:r>
      <w:r>
        <w:rPr>
          <w:rFonts w:ascii="Arial;sans-serif" w:hAnsi="Arial;sans-serif"/>
          <w:b/>
          <w:color w:val="000000"/>
          <w:sz w:val="20"/>
        </w:rPr>
        <w:t xml:space="preserve">POWERS OF THE COMMITTEE </w:t>
      </w:r>
    </w:p>
    <w:p>
      <w:pPr>
        <w:pStyle w:val="TextBody"/>
        <w:bidi w:val="0"/>
        <w:spacing w:lineRule="auto" w:line="288" w:before="140" w:after="283"/>
        <w:ind w:left="0" w:right="0" w:firstLine="720"/>
        <w:jc w:val="left"/>
        <w:rPr/>
      </w:pPr>
      <w:r>
        <w:rPr>
          <w:rFonts w:ascii="Arial;sans-serif" w:hAnsi="Arial;sans-serif"/>
          <w:b w:val="false"/>
          <w:color w:val="000000"/>
          <w:sz w:val="20"/>
        </w:rPr>
        <w:t>4.1</w:t>
      </w:r>
      <w:r>
        <w:rPr>
          <w:rFonts w:ascii="Arial;sans-serif" w:hAnsi="Arial;sans-serif"/>
          <w:b w:val="false"/>
          <w:color w:val="000000"/>
          <w:sz w:val="20"/>
          <w:u w:val="single"/>
        </w:rPr>
        <w:t>Committee Members</w:t>
      </w:r>
      <w:r>
        <w:rPr>
          <w:rFonts w:ascii="Arial;sans-serif" w:hAnsi="Arial;sans-serif"/>
          <w:b w:val="false"/>
          <w:color w:val="000000"/>
          <w:sz w:val="20"/>
        </w:rPr>
        <w:t xml:space="preserve">. Subject to </w:t>
      </w:r>
      <w:r>
        <w:rPr>
          <w:rFonts w:ascii="Arial;sans-serif" w:hAnsi="Arial;sans-serif"/>
          <w:b/>
          <w:color w:val="000000"/>
          <w:sz w:val="20"/>
          <w:u w:val="single"/>
        </w:rPr>
        <w:t>Section 4.4</w:t>
      </w:r>
      <w:r>
        <w:rPr>
          <w:rFonts w:ascii="Arial;sans-serif" w:hAnsi="Arial;sans-serif"/>
          <w:b w:val="false"/>
          <w:color w:val="000000"/>
          <w:sz w:val="20"/>
        </w:rPr>
        <w:t xml:space="preserve">, the Plan shall be administered by the Committee. If the Committee does not exist, or for any other reason determined by the Board, the Board may take any action under the Plan (with such recusals as may be appropriate) that would otherwise be the responsibility of the Committee. </w:t>
      </w:r>
    </w:p>
    <w:p>
      <w:pPr>
        <w:pStyle w:val="TextBody"/>
        <w:bidi w:val="0"/>
        <w:spacing w:lineRule="auto" w:line="288" w:before="140" w:after="283"/>
        <w:ind w:left="0" w:right="0" w:firstLine="720"/>
        <w:jc w:val="left"/>
        <w:rPr/>
      </w:pPr>
      <w:r>
        <w:rPr>
          <w:rFonts w:ascii="Arial;sans-serif" w:hAnsi="Arial;sans-serif"/>
          <w:b w:val="false"/>
          <w:color w:val="000000"/>
          <w:sz w:val="20"/>
        </w:rPr>
        <w:t>4.2</w:t>
      </w:r>
      <w:r>
        <w:rPr>
          <w:rFonts w:ascii="Arial;sans-serif" w:hAnsi="Arial;sans-serif"/>
          <w:b w:val="false"/>
          <w:color w:val="000000"/>
          <w:sz w:val="20"/>
          <w:u w:val="single"/>
        </w:rPr>
        <w:t>Power to Grant</w:t>
      </w:r>
      <w:r>
        <w:rPr>
          <w:rFonts w:ascii="Arial;sans-serif" w:hAnsi="Arial;sans-serif"/>
          <w:b w:val="false"/>
          <w:color w:val="000000"/>
          <w:sz w:val="20"/>
        </w:rPr>
        <w:t xml:space="preserve">. The Committee shall determine the Participants to whom Awards shall be granted, the type or types of Awards to be granted, the number of shares of Stock subject to each Award, and the terms and conditions of any and all such Awards. The Committee may establish different terms and conditions for different types of Awards, for different Participants receiving the same type of Awards, and for the same Participant for each Award such Participant may receive, whether or not granted at different times.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- 3 -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- 3 -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ind w:left="0" w:right="0" w:firstLine="720"/>
        <w:jc w:val="left"/>
        <w:rPr/>
      </w:pPr>
      <w:r>
        <w:rPr>
          <w:rFonts w:ascii="Arial;sans-serif" w:hAnsi="Arial;sans-serif"/>
          <w:b w:val="false"/>
          <w:color w:val="000000"/>
          <w:sz w:val="20"/>
        </w:rPr>
        <w:t>4.3</w:t>
      </w:r>
      <w:r>
        <w:rPr>
          <w:rFonts w:ascii="Arial;sans-serif" w:hAnsi="Arial;sans-serif"/>
          <w:b w:val="false"/>
          <w:color w:val="000000"/>
          <w:sz w:val="20"/>
          <w:u w:val="single"/>
        </w:rPr>
        <w:t>Administration</w:t>
      </w:r>
      <w:r>
        <w:rPr>
          <w:rFonts w:ascii="Arial;sans-serif" w:hAnsi="Arial;sans-serif"/>
          <w:b w:val="false"/>
          <w:color w:val="000000"/>
          <w:sz w:val="20"/>
        </w:rPr>
        <w:t>.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necessary or advisable for the administration and interpretation of the Plan and Agreements in order to carry out its provisions and purposes. In addition, the Committee is authorized to take any action it determines in its sole discretion to be appropriate subject only to the express limitations contained in the Plan, and no authorization in any Plan section or other provision of the Plan or an Agreement is intended or may be deemed to constitute a limitation on the authority of the Committee. Determinations, interpretations, or other actions made or taken by the Committee pursuant to the provisions of the Plan shall be final, binding, and conclusive for all purposes and upon all persons. The Committee may accelerate the vesting of an Award or deem an Award to be earned, in whole or in part, in the event of a Participant’s death, disability, retirement, or upon any other event as determined by the Committee in its sole and absolute discretion.</w:t>
      </w:r>
    </w:p>
    <w:p>
      <w:pPr>
        <w:pStyle w:val="TextBody"/>
        <w:bidi w:val="0"/>
        <w:spacing w:lineRule="auto" w:line="288" w:before="140" w:after="283"/>
        <w:ind w:left="0" w:right="0" w:firstLine="720"/>
        <w:jc w:val="left"/>
        <w:rPr/>
      </w:pPr>
      <w:r>
        <w:rPr>
          <w:rFonts w:ascii="Arial;sans-serif" w:hAnsi="Arial;sans-serif"/>
          <w:b w:val="false"/>
          <w:color w:val="000000"/>
          <w:sz w:val="20"/>
        </w:rPr>
        <w:t>4.4</w:t>
      </w:r>
      <w:r>
        <w:rPr>
          <w:rFonts w:ascii="Arial;sans-serif" w:hAnsi="Arial;sans-serif"/>
          <w:b w:val="false"/>
          <w:color w:val="000000"/>
          <w:sz w:val="20"/>
          <w:u w:val="single"/>
        </w:rPr>
        <w:t>Delegation by Committee</w:t>
      </w:r>
      <w:r>
        <w:rPr>
          <w:rFonts w:ascii="Arial;sans-serif" w:hAnsi="Arial;sans-serif"/>
          <w:b w:val="false"/>
          <w:color w:val="000000"/>
          <w:sz w:val="20"/>
        </w:rPr>
        <w:t xml:space="preserve">. To the full extent permitted by law and the rules of any exchange on which the shares of Stock are traded, the Committee may, at any time and from time to time: (a) delegate to one or more of its members any or all of its responsibilities and powers, including all responsibilities and authority described under </w:t>
      </w:r>
      <w:r>
        <w:rPr>
          <w:rFonts w:ascii="Arial;sans-serif" w:hAnsi="Arial;sans-serif"/>
          <w:b/>
          <w:color w:val="000000"/>
          <w:sz w:val="20"/>
          <w:u w:val="single"/>
        </w:rPr>
        <w:t>Sections 4.2</w:t>
      </w:r>
      <w:r>
        <w:rPr>
          <w:color w:val="000000"/>
        </w:rPr>
        <w:t xml:space="preserve"> </w:t>
      </w:r>
      <w:r>
        <w:rPr>
          <w:rFonts w:ascii="Arial;sans-serif" w:hAnsi="Arial;sans-serif"/>
          <w:b/>
          <w:color w:val="000000"/>
          <w:sz w:val="20"/>
        </w:rPr>
        <w:t xml:space="preserve">and </w:t>
      </w:r>
      <w:r>
        <w:rPr>
          <w:rFonts w:ascii="Arial;sans-serif" w:hAnsi="Arial;sans-serif"/>
          <w:b/>
          <w:color w:val="000000"/>
          <w:sz w:val="20"/>
          <w:u w:val="single"/>
        </w:rPr>
        <w:t>4.3</w:t>
      </w:r>
      <w:r>
        <w:rPr>
          <w:rFonts w:ascii="Arial;sans-serif" w:hAnsi="Arial;sans-serif"/>
          <w:b w:val="false"/>
          <w:color w:val="000000"/>
          <w:sz w:val="20"/>
        </w:rPr>
        <w:t xml:space="preserve">; (b) delegate to any individual officer of the Company the authority to grant Awards to Participants other than himself or herself, and to determine the terms and conditions thereof; provided that (i) such Awards shall not be granted to officers subject to Section 16 of the Act, (ii) the resolution providing for such authorization sets forth the total number of shares of Stock such officer may grant and such terms as required by applicable law, and (iii) the officer will report periodically to the Committee regarding the nature and scope of the Awards granted pursuant to such delegated authority; and (c) grant authority to Employees or designate Employees of the Company to execute documents on behalf of the Committee or to otherwise assist the Committee in the administration and operation of the Plan. </w:t>
      </w:r>
    </w:p>
    <w:p>
      <w:pPr>
        <w:pStyle w:val="TextBody"/>
        <w:bidi w:val="0"/>
        <w:spacing w:lineRule="auto" w:line="288" w:before="140" w:after="283"/>
        <w:ind w:left="0" w:right="0" w:firstLine="720"/>
        <w:jc w:val="left"/>
        <w:rPr/>
      </w:pPr>
      <w:r>
        <w:rPr>
          <w:rFonts w:ascii="Arial;sans-serif" w:hAnsi="Arial;sans-serif"/>
          <w:b w:val="false"/>
          <w:color w:val="000000"/>
          <w:sz w:val="20"/>
        </w:rPr>
        <w:t>4.5</w:t>
      </w:r>
      <w:r>
        <w:rPr>
          <w:rFonts w:ascii="Arial;sans-serif" w:hAnsi="Arial;sans-serif"/>
          <w:b w:val="false"/>
          <w:color w:val="000000"/>
          <w:sz w:val="20"/>
          <w:u w:val="single"/>
        </w:rPr>
        <w:t>Non-U.S. Participants</w:t>
      </w:r>
      <w:r>
        <w:rPr>
          <w:rFonts w:ascii="Arial;sans-serif" w:hAnsi="Arial;sans-serif"/>
          <w:b w:val="false"/>
          <w:color w:val="000000"/>
          <w:sz w:val="20"/>
        </w:rPr>
        <w:t xml:space="preserve">. Notwithstanding any provision of the Plan to the contrary, in order to foster and promote achievement of the purposes of the Plan or to comply with provisions of laws in other countries in which the Company operates or has employees, the Committee, in its sole discretion, shall have the power and authority to (a) determine which Participants (if any) employed by the Company outside the United States are eligible to participate in the Plan, (b) modify the terms and conditions of any Awards made to such Participants, and (c) establish subplans and modified Option exercise procedures and other Award terms and procedures to the extent such actions may be necessary or advisable. No such special terms, supplements, amendments or restatements, however, shall include any provisions that are inconsistent with the terms of the Plan as then in effect unless the Plan could have been amended to eliminate such inconsistency without further approval by the stockholders of the Company. </w:t>
      </w:r>
    </w:p>
    <w:p>
      <w:pPr>
        <w:pStyle w:val="TextBody"/>
        <w:bidi w:val="0"/>
        <w:spacing w:lineRule="auto" w:line="288" w:before="140" w:after="283"/>
        <w:jc w:val="center"/>
        <w:rPr/>
      </w:pPr>
      <w:r>
        <w:rPr>
          <w:rFonts w:ascii="Arial;sans-serif" w:hAnsi="Arial;sans-serif"/>
          <w:b/>
          <w:color w:val="000000"/>
          <w:sz w:val="20"/>
        </w:rPr>
        <w:t>SECTION 5.</w:t>
      </w:r>
      <w:r>
        <w:rPr>
          <w:rFonts w:ascii="Arial;sans-serif" w:hAnsi="Arial;sans-serif"/>
          <w:b/>
          <w:color w:val="000000"/>
          <w:sz w:val="20"/>
        </w:rPr>
        <w:t xml:space="preserve">STOCK SUBJECT TO PLAN </w:t>
      </w:r>
    </w:p>
    <w:p>
      <w:pPr>
        <w:pStyle w:val="TextBody"/>
        <w:bidi w:val="0"/>
        <w:spacing w:lineRule="auto" w:line="288" w:before="140" w:after="283"/>
        <w:ind w:left="0" w:right="0" w:firstLine="720"/>
        <w:jc w:val="left"/>
        <w:rPr/>
      </w:pPr>
      <w:r>
        <w:rPr>
          <w:rFonts w:ascii="Arial;sans-serif" w:hAnsi="Arial;sans-serif"/>
          <w:b w:val="false"/>
          <w:color w:val="000000"/>
          <w:sz w:val="20"/>
        </w:rPr>
        <w:t>5.1</w:t>
      </w:r>
      <w:r>
        <w:rPr>
          <w:rFonts w:ascii="Arial;sans-serif" w:hAnsi="Arial;sans-serif"/>
          <w:b w:val="false"/>
          <w:color w:val="000000"/>
          <w:sz w:val="20"/>
          <w:u w:val="single"/>
        </w:rPr>
        <w:t>Maximum Number</w:t>
      </w:r>
      <w:r>
        <w:rPr>
          <w:rFonts w:ascii="Arial;sans-serif" w:hAnsi="Arial;sans-serif"/>
          <w:b w:val="false"/>
          <w:color w:val="000000"/>
          <w:sz w:val="20"/>
        </w:rPr>
        <w:t>.</w:t>
      </w:r>
    </w:p>
    <w:p>
      <w:pPr>
        <w:pStyle w:val="TextBody"/>
        <w:bidi w:val="0"/>
        <w:spacing w:lineRule="auto" w:line="288" w:before="140" w:after="283"/>
        <w:jc w:val="left"/>
        <w:rPr/>
      </w:pPr>
      <w:r>
        <w:rPr>
          <w:rFonts w:ascii="Arial;sans-serif" w:hAnsi="Arial;sans-serif"/>
          <w:b w:val="false"/>
          <w:color w:val="000000"/>
          <w:sz w:val="20"/>
        </w:rPr>
        <w:t xml:space="preserve">(a)Subject to the provisions of </w:t>
      </w:r>
      <w:r>
        <w:rPr>
          <w:rFonts w:ascii="Arial;sans-serif" w:hAnsi="Arial;sans-serif"/>
          <w:b/>
          <w:color w:val="000000"/>
          <w:sz w:val="20"/>
          <w:u w:val="single"/>
        </w:rPr>
        <w:t>Sections 5.4</w:t>
      </w:r>
      <w:r>
        <w:rPr>
          <w:color w:val="000000"/>
        </w:rPr>
        <w:t xml:space="preserve"> </w:t>
      </w:r>
      <w:r>
        <w:rPr>
          <w:rFonts w:ascii="Arial;sans-serif" w:hAnsi="Arial;sans-serif"/>
          <w:b/>
          <w:color w:val="000000"/>
          <w:sz w:val="20"/>
        </w:rPr>
        <w:t xml:space="preserve">and </w:t>
      </w:r>
      <w:r>
        <w:rPr>
          <w:rFonts w:ascii="Arial;sans-serif" w:hAnsi="Arial;sans-serif"/>
          <w:b/>
          <w:color w:val="000000"/>
          <w:sz w:val="20"/>
          <w:u w:val="single"/>
        </w:rPr>
        <w:t>5.5</w:t>
      </w:r>
      <w:r>
        <w:rPr>
          <w:color w:val="000000"/>
        </w:rPr>
        <w:t xml:space="preserve"> </w:t>
      </w:r>
      <w:r>
        <w:rPr>
          <w:rFonts w:ascii="Arial;sans-serif" w:hAnsi="Arial;sans-serif"/>
          <w:b w:val="false"/>
          <w:color w:val="000000"/>
          <w:sz w:val="20"/>
        </w:rPr>
        <w:t>and the share counting rules set forth below, as of the Effective Date, the number of shares of Stock available for Awards under the Plan (plus dividend equivalents paid with respect to Awards made under the Plan) may not exceed 5,000,000 shares of Stock (comprised of 1,845,722 shares available for grant under the Prior Plan as of July 15, 2026, and 3,154,278 additional shares requested), less one share for every one share subject to an award granted under the Prior Plan after July 15, 2026 and prior to the Effective Date. After the Effective Date, no awards may be granted under the Prior Plan.</w:t>
      </w:r>
    </w:p>
    <w:p>
      <w:pPr>
        <w:pStyle w:val="TextBody"/>
        <w:bidi w:val="0"/>
        <w:spacing w:lineRule="auto" w:line="288" w:before="140" w:after="283"/>
        <w:jc w:val="left"/>
        <w:rPr/>
      </w:pPr>
      <w:r>
        <w:rPr>
          <w:rFonts w:ascii="Arial;sans-serif" w:hAnsi="Arial;sans-serif"/>
          <w:b w:val="false"/>
          <w:color w:val="000000"/>
          <w:sz w:val="20"/>
        </w:rPr>
        <w:t xml:space="preserve">(b)The aggregate number of shares of Stock available under </w:t>
      </w:r>
      <w:r>
        <w:rPr>
          <w:rFonts w:ascii="Arial;sans-serif" w:hAnsi="Arial;sans-serif"/>
          <w:b/>
          <w:color w:val="000000"/>
          <w:sz w:val="20"/>
          <w:u w:val="single"/>
        </w:rPr>
        <w:t>Section 5.1(a)</w:t>
      </w:r>
      <w:r>
        <w:rPr>
          <w:color w:val="000000"/>
        </w:rPr>
        <w:t xml:space="preserve"> </w:t>
      </w:r>
      <w:r>
        <w:rPr>
          <w:rFonts w:ascii="Arial;sans-serif" w:hAnsi="Arial;sans-serif"/>
          <w:b w:val="false"/>
          <w:color w:val="000000"/>
          <w:sz w:val="20"/>
        </w:rPr>
        <w:t xml:space="preserve">will be reduced by one share of Stock for every one share of Stock subject to an Award granted under the Plan. The shares to be delivered under the Plan may consist, in whole or in part, of treasury Stock or authorized but unissued Stock not reserved for any other purpose.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- 4 -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- 4 -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ind w:left="0" w:right="0" w:firstLine="720"/>
        <w:jc w:val="left"/>
        <w:rPr/>
      </w:pPr>
      <w:r>
        <w:rPr>
          <w:rFonts w:ascii="Arial;sans-serif" w:hAnsi="Arial;sans-serif"/>
          <w:b w:val="false"/>
          <w:color w:val="000000"/>
          <w:sz w:val="20"/>
        </w:rPr>
        <w:t>5.2</w:t>
      </w:r>
      <w:r>
        <w:rPr>
          <w:rFonts w:ascii="Arial;sans-serif" w:hAnsi="Arial;sans-serif"/>
          <w:b w:val="false"/>
          <w:color w:val="000000"/>
          <w:sz w:val="20"/>
          <w:u w:val="single"/>
        </w:rPr>
        <w:t>Limit on Incentive Stock Options</w:t>
      </w:r>
      <w:r>
        <w:rPr>
          <w:rFonts w:ascii="Arial;sans-serif" w:hAnsi="Arial;sans-serif"/>
          <w:b w:val="false"/>
          <w:color w:val="000000"/>
          <w:sz w:val="20"/>
        </w:rPr>
        <w:t xml:space="preserve">. Notwithstanding anything in this </w:t>
      </w:r>
      <w:r>
        <w:rPr>
          <w:rFonts w:ascii="Arial;sans-serif" w:hAnsi="Arial;sans-serif"/>
          <w:b/>
          <w:color w:val="000000"/>
          <w:sz w:val="20"/>
          <w:u w:val="single"/>
        </w:rPr>
        <w:t>Section 5</w:t>
      </w:r>
      <w:r>
        <w:rPr>
          <w:rFonts w:ascii="Arial;sans-serif" w:hAnsi="Arial;sans-serif"/>
          <w:b w:val="false"/>
          <w:color w:val="000000"/>
          <w:sz w:val="20"/>
        </w:rPr>
        <w:t xml:space="preserve">, or elsewhere in the Plan, to the contrary and subject to adjustment as provided in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of the Plan, the aggregate number of shares of Stock actually issued or transferred by the Company upon the exercise of Incentive Stock Options is subject to the overall Plan limit set forth in </w:t>
      </w:r>
      <w:r>
        <w:rPr>
          <w:rFonts w:ascii="Arial;sans-serif" w:hAnsi="Arial;sans-serif"/>
          <w:b/>
          <w:color w:val="000000"/>
          <w:sz w:val="20"/>
        </w:rPr>
        <w:t xml:space="preserve">Section 5.1(a) </w:t>
      </w:r>
      <w:r>
        <w:rPr>
          <w:rFonts w:ascii="Arial;sans-serif" w:hAnsi="Arial;sans-serif"/>
          <w:b w:val="false"/>
          <w:color w:val="000000"/>
          <w:sz w:val="20"/>
        </w:rPr>
        <w:t xml:space="preserve">and also will not exceed 5,000,000 shares of Stock. </w:t>
      </w:r>
    </w:p>
    <w:p>
      <w:pPr>
        <w:pStyle w:val="TextBody"/>
        <w:bidi w:val="0"/>
        <w:spacing w:lineRule="auto" w:line="288" w:before="140" w:after="283"/>
        <w:ind w:left="0" w:right="0" w:firstLine="720"/>
        <w:jc w:val="left"/>
        <w:rPr/>
      </w:pPr>
      <w:r>
        <w:rPr>
          <w:rFonts w:ascii="Arial;sans-serif" w:hAnsi="Arial;sans-serif"/>
          <w:b w:val="false"/>
          <w:color w:val="000000"/>
          <w:sz w:val="20"/>
        </w:rPr>
        <w:t>5.3</w:t>
      </w:r>
      <w:r>
        <w:rPr>
          <w:rFonts w:ascii="Arial;sans-serif" w:hAnsi="Arial;sans-serif"/>
          <w:b w:val="false"/>
          <w:color w:val="000000"/>
          <w:sz w:val="20"/>
          <w:u w:val="single"/>
        </w:rPr>
        <w:t>Director Compensation Limit</w:t>
      </w:r>
      <w:r>
        <w:rPr>
          <w:rFonts w:ascii="Arial;sans-serif" w:hAnsi="Arial;sans-serif"/>
          <w:b w:val="false"/>
          <w:color w:val="000000"/>
          <w:sz w:val="20"/>
        </w:rPr>
        <w:t xml:space="preserve">. Notwithstanding anything in this </w:t>
      </w:r>
      <w:r>
        <w:rPr>
          <w:rFonts w:ascii="Arial;sans-serif" w:hAnsi="Arial;sans-serif"/>
          <w:b/>
          <w:color w:val="000000"/>
          <w:sz w:val="20"/>
          <w:u w:val="single"/>
        </w:rPr>
        <w:t>Section 5</w:t>
      </w:r>
      <w:r>
        <w:rPr>
          <w:color w:val="000000"/>
        </w:rPr>
        <w:t xml:space="preserve"> </w:t>
      </w:r>
      <w:r>
        <w:rPr>
          <w:rFonts w:ascii="Arial;sans-serif" w:hAnsi="Arial;sans-serif"/>
          <w:b w:val="false"/>
          <w:color w:val="000000"/>
          <w:sz w:val="20"/>
        </w:rPr>
        <w:t xml:space="preserve">or elsewhere in the Plan to the contrary, and subject to adjustment as provided in </w:t>
      </w:r>
      <w:r>
        <w:rPr>
          <w:rFonts w:ascii="Arial;sans-serif" w:hAnsi="Arial;sans-serif"/>
          <w:b/>
          <w:color w:val="000000"/>
          <w:sz w:val="20"/>
          <w:u w:val="single"/>
        </w:rPr>
        <w:t>Section 5.5</w:t>
      </w:r>
      <w:r>
        <w:rPr>
          <w:rFonts w:ascii="Arial;sans-serif" w:hAnsi="Arial;sans-serif"/>
          <w:b w:val="false"/>
          <w:color w:val="000000"/>
          <w:sz w:val="20"/>
        </w:rPr>
        <w:t xml:space="preserve">, in no event will any Eligible Director in any fiscal year be granted Awards under the Plan having an aggregate maximum value at the date of grant (calculating the value of any such Awards based on the grant date fair value for financial reporting purposes), taken together with any cash fees payable to such Eligible Director in respect of the Eligible Director’s service as a member of the Board during such fiscal year, in excess of $1,000,000 (or, for a non-executive chair of the Board, $2,000,000). </w:t>
      </w:r>
    </w:p>
    <w:p>
      <w:pPr>
        <w:pStyle w:val="TextBody"/>
        <w:bidi w:val="0"/>
        <w:spacing w:lineRule="auto" w:line="288" w:before="140" w:after="283"/>
        <w:ind w:left="0" w:right="0" w:firstLine="720"/>
        <w:jc w:val="left"/>
        <w:rPr/>
      </w:pPr>
      <w:r>
        <w:rPr>
          <w:rFonts w:ascii="Arial;sans-serif" w:hAnsi="Arial;sans-serif"/>
          <w:b w:val="false"/>
          <w:color w:val="000000"/>
          <w:sz w:val="20"/>
        </w:rPr>
        <w:t>5.4</w:t>
      </w:r>
      <w:r>
        <w:rPr>
          <w:rFonts w:ascii="Arial;sans-serif" w:hAnsi="Arial;sans-serif"/>
          <w:b w:val="false"/>
          <w:color w:val="000000"/>
          <w:sz w:val="20"/>
          <w:u w:val="single"/>
        </w:rPr>
        <w:t>Cancelled, Terminated, Forfeited or Surrendered Awards</w:t>
      </w:r>
      <w:r>
        <w:rPr>
          <w:rFonts w:ascii="Arial;sans-serif" w:hAnsi="Arial;sans-serif"/>
          <w:b w:val="false"/>
          <w:color w:val="000000"/>
          <w:sz w:val="20"/>
        </w:rPr>
        <w:t xml:space="preserve">. Any shares of Stock subject to an Award (or, after July 15, 2026, an award previously granted under the Prior Plan) that for any reason is cancelled, terminated or forfeited, or that lapses, expires, or becomes unexercisable for any other reason, or is settled for cash (in whole or in part), will, to the extent of such cancellation, termination, forfeiture, lapse, expiration, unexercisability or cash settlement, again (or in the case of Prior Plan awards, newly be) be available for Awards under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following shares of Stock may not again be made available for issuance of Awards under the Plan: (a) shares used to pay the exercise price of an outstanding Award (or award under the Prior Plan), (b) shares used to pay withholding taxes related to an outstanding Option or SAR Award (or option or SAR award under the Prior Plan), and (c) shares not issued or delivered as a result of the net share settlement of an outstanding SAR (or SAR award under the Prior Plan). In the event withholding tax liabilities arising from an Award other than an Option or SAR (or, after July 15, 2026, an award other than an option or SAR award previously granted under the Prior Plan) are satisfied by the tendering of shares (either actually or by attestation) or by the withholding of shares by the Company, the shares so tendered or withheld shall again be (or in the case of Prior Plan awards, newly be) available for Awards under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such recycling of shares for tax withholding purposes is limited to 10 years from the latest date of stockholder approval of the Plan if such recycling involves shares that have actually been issued by the Company. Stock reacquired by the Company on the open market or otherwise using cash proceeds from the exercise of Options (or option awards under the Prior Plan) will not be added to the aggregate number of shares of Stock available under </w:t>
      </w:r>
      <w:r>
        <w:rPr>
          <w:rFonts w:ascii="Arial;sans-serif" w:hAnsi="Arial;sans-serif"/>
          <w:b/>
          <w:color w:val="000000"/>
          <w:sz w:val="20"/>
          <w:u w:val="single"/>
        </w:rPr>
        <w:t>Section 5.1(a)</w:t>
      </w:r>
      <w:r>
        <w:rPr>
          <w:color w:val="000000"/>
        </w:rPr>
        <w:t xml:space="preserve"> </w:t>
      </w:r>
      <w:r>
        <w:rPr>
          <w:rFonts w:ascii="Arial;sans-serif" w:hAnsi="Arial;sans-serif"/>
          <w:b w:val="false"/>
          <w:color w:val="000000"/>
          <w:sz w:val="20"/>
        </w:rPr>
        <w:t xml:space="preserve">above. </w:t>
      </w:r>
    </w:p>
    <w:p>
      <w:pPr>
        <w:pStyle w:val="TextBody"/>
        <w:bidi w:val="0"/>
        <w:spacing w:lineRule="auto" w:line="288" w:before="140" w:after="283"/>
        <w:ind w:left="0" w:right="0" w:firstLine="720"/>
        <w:jc w:val="left"/>
        <w:rPr/>
      </w:pPr>
      <w:r>
        <w:rPr>
          <w:rFonts w:ascii="Arial;sans-serif" w:hAnsi="Arial;sans-serif"/>
          <w:b w:val="false"/>
          <w:color w:val="000000"/>
          <w:sz w:val="20"/>
        </w:rPr>
        <w:t>5.5</w:t>
      </w:r>
      <w:r>
        <w:rPr>
          <w:rFonts w:ascii="Arial;sans-serif" w:hAnsi="Arial;sans-serif"/>
          <w:b w:val="false"/>
          <w:color w:val="000000"/>
          <w:sz w:val="20"/>
          <w:u w:val="single"/>
        </w:rPr>
        <w:t>Adjustments</w:t>
      </w:r>
      <w:r>
        <w:rPr>
          <w:rFonts w:ascii="Arial;sans-serif" w:hAnsi="Arial;sans-serif"/>
          <w:b w:val="false"/>
          <w:color w:val="000000"/>
          <w:sz w:val="20"/>
        </w:rPr>
        <w:t xml:space="preserve">. The Committee shall make or provide for such adjustments in the terms and conditions of Awards (including, without limitation, any applicable performance targets or criteria with respect thereto) granted hereunder as the Committee, in its sole discretion, exercised in good faith, determines is equitably required to prevent dilution or enlargement of the rights of Participants that otherwise would result from any change in corporate capitalization (such as a stock split, reverse stock split, stock dividend, combination of shares, recapitalization or other change in the capital structure of the Company), or any corporate transaction such as a reorganization, reclassification, merger, consolidation, combination or separation (including a spin-off, split-off, spin-out, split-up), partial or complete liquidation or other distribution of assets, issuance of rights or warrants to purchase securities of the Company, or sale or other disposition by the Company of all or a portion of its assets, or any other change in the Company’s corporate structure, or any distribution to stockholders (other than a cash dividend that is not an extraordinary cash dividend), or any other corporate transaction or event having an effect similar to any of the foregoing. Moreover, in the event of any such transaction or event or in the event of a Change of Control, the Committee, in its discretion, may provide in substitution for any or all outstanding Awards under the Plan such alternative consideration (including cash), if any, as it, in good faith, may determine to be equitable in the circumstances and may require in connection therewith the surrender of all Awards so replaced in a manner that complies with Code Section 409A. In addition, for each Option or SAR with an exercise price greater than the consideration offered in connection with any such transaction or event described in this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or a Change of Control, the Committee may in its sole discretion elect to cancel such Option or SAR without any payment to the person holding such Option or SAR. The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- 5 -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- 5 -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r>
        <w:rPr>
          <w:rFonts w:ascii="Arial;sans-serif" w:hAnsi="Arial;sans-serif"/>
          <w:b w:val="false"/>
          <w:color w:val="000000"/>
          <w:sz w:val="20"/>
        </w:rPr>
        <w:t xml:space="preserve">Committee shall also make or provide for such adjustments in the number of and kind of shares of Stock and amounts of cash (and related provisions) specified in </w:t>
      </w:r>
      <w:r>
        <w:rPr>
          <w:rFonts w:ascii="Arial;sans-serif" w:hAnsi="Arial;sans-serif"/>
          <w:b/>
          <w:color w:val="000000"/>
          <w:sz w:val="20"/>
          <w:u w:val="single"/>
        </w:rPr>
        <w:t>Section 5</w:t>
      </w:r>
      <w:r>
        <w:rPr>
          <w:color w:val="000000"/>
        </w:rPr>
        <w:t xml:space="preserve"> </w:t>
      </w:r>
      <w:r>
        <w:rPr>
          <w:rFonts w:ascii="Arial;sans-serif" w:hAnsi="Arial;sans-serif"/>
          <w:b w:val="false"/>
          <w:color w:val="000000"/>
          <w:sz w:val="20"/>
        </w:rPr>
        <w:t xml:space="preserve">of the Plan as the Committee in its sole discretion, exercised in good faith, determines is appropriate to reflect any transaction or event described in this </w:t>
      </w:r>
      <w:r>
        <w:rPr>
          <w:rFonts w:ascii="Arial;sans-serif" w:hAnsi="Arial;sans-serif"/>
          <w:b/>
          <w:color w:val="000000"/>
          <w:sz w:val="20"/>
          <w:u w:val="single"/>
        </w:rPr>
        <w:t>Section 5.5</w:t>
      </w:r>
      <w:r>
        <w:rPr>
          <w:rFonts w:ascii="Arial;sans-serif" w:hAnsi="Arial;sans-serif"/>
          <w:b w:val="false"/>
          <w:color w:val="000000"/>
          <w:sz w:val="20"/>
        </w:rPr>
        <w:t xml:space="preserve">;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any such adjustment to the number specified in </w:t>
      </w:r>
      <w:r>
        <w:rPr>
          <w:rFonts w:ascii="Arial;sans-serif" w:hAnsi="Arial;sans-serif"/>
          <w:b/>
          <w:color w:val="000000"/>
          <w:sz w:val="20"/>
          <w:u w:val="single"/>
        </w:rPr>
        <w:t>Section 5.2</w:t>
      </w:r>
      <w:r>
        <w:rPr>
          <w:color w:val="000000"/>
        </w:rPr>
        <w:t xml:space="preserve"> </w:t>
      </w:r>
      <w:r>
        <w:rPr>
          <w:rFonts w:ascii="Arial;sans-serif" w:hAnsi="Arial;sans-serif"/>
          <w:b w:val="false"/>
          <w:color w:val="000000"/>
          <w:sz w:val="20"/>
        </w:rPr>
        <w:t xml:space="preserve">of the Plan will be made only if and to the extent that such adjustment would not cause any Option intended to qualify as an Incentive Stock Option to fail to so qualify. Notwithstanding the foregoing, in no event shall this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be construed to permit a modification (including a replacement) of an Option or SAR if such modification either: (a) would result in accelerated recognition of income or imposition of additional tax under Code Section 409A; or (b) would cause the Option or SAR subject to the modification (or cause a replacement Option or SAR) to be subject to Code Section 409A, provided that the restriction of this clause (b) shall not apply to any Option or SAR that, at the time it is granted or otherwise, is designated as being deferred compensation subject to Code Section 409A. Any adjustment by the Committee shall be conclusive and binding for all purposes of the Plan. </w:t>
      </w:r>
    </w:p>
    <w:p>
      <w:pPr>
        <w:pStyle w:val="TextBody"/>
        <w:bidi w:val="0"/>
        <w:spacing w:lineRule="auto" w:line="288" w:before="140" w:after="283"/>
        <w:ind w:left="0" w:right="0" w:firstLine="720"/>
        <w:jc w:val="left"/>
        <w:rPr/>
      </w:pPr>
      <w:r>
        <w:rPr>
          <w:rFonts w:ascii="Arial;sans-serif" w:hAnsi="Arial;sans-serif"/>
          <w:b w:val="false"/>
          <w:color w:val="000000"/>
          <w:sz w:val="20"/>
        </w:rPr>
        <w:t>5.6</w:t>
      </w:r>
      <w:r>
        <w:rPr>
          <w:rFonts w:ascii="Arial;sans-serif" w:hAnsi="Arial;sans-serif"/>
          <w:b w:val="false"/>
          <w:color w:val="000000"/>
          <w:sz w:val="20"/>
          <w:u w:val="single"/>
        </w:rPr>
        <w:t>Dividend Equivalent Rights</w:t>
      </w:r>
      <w:r>
        <w:rPr>
          <w:rFonts w:ascii="Arial;sans-serif" w:hAnsi="Arial;sans-serif"/>
          <w:b w:val="false"/>
          <w:color w:val="000000"/>
          <w:sz w:val="20"/>
        </w:rPr>
        <w:t xml:space="preserve">. No dividends or dividend equivalents shall be paid on Options or SARs. The Committee may at the time of the grant of a Restricted Stock, Restricted Stock Unit, Performance Share Award or Other Stock-Based Award provide that any dividends declared on such Stock, or that dividend equivalents, be (a) accumulated for the benefit of the Participant and paid to the Participant only after the expiration of any restrictions (and, for purposes of clarity, dividend equivalents or other distributions on Stock underlying Awards shall be deferred until, and paid contingent upon, the vesting of such Awards) or (b) not paid or accumulated. </w:t>
      </w:r>
    </w:p>
    <w:p>
      <w:pPr>
        <w:pStyle w:val="TextBody"/>
        <w:bidi w:val="0"/>
        <w:spacing w:lineRule="auto" w:line="288" w:before="140" w:after="283"/>
        <w:ind w:left="0" w:right="0" w:firstLine="720"/>
        <w:jc w:val="left"/>
        <w:rPr/>
      </w:pPr>
      <w:r>
        <w:rPr>
          <w:rFonts w:ascii="Arial;sans-serif" w:hAnsi="Arial;sans-serif"/>
          <w:b w:val="false"/>
          <w:color w:val="000000"/>
          <w:sz w:val="20"/>
        </w:rPr>
        <w:t>5.7</w:t>
      </w:r>
      <w:r>
        <w:rPr>
          <w:rFonts w:ascii="Arial;sans-serif" w:hAnsi="Arial;sans-serif"/>
          <w:b w:val="false"/>
          <w:color w:val="000000"/>
          <w:sz w:val="20"/>
          <w:u w:val="single"/>
        </w:rPr>
        <w:t>Certain Assumed, Converted or Substitute Awards</w:t>
      </w:r>
      <w:r>
        <w:rPr>
          <w:rFonts w:ascii="Arial;sans-serif" w:hAnsi="Arial;sans-serif"/>
          <w:b w:val="false"/>
          <w:color w:val="000000"/>
          <w:sz w:val="20"/>
        </w:rPr>
        <w:t xml:space="preserve">. Notwithstanding anything in the Plan to the contrary: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(a)Awards may be granted under the Plan in substitution for or in conversion of, or in connection with an assumption of, stock options, stock appreciation rights, restricted stock, restricted stock units, performance shares or other stock or stock-based awards held by awardees of an entity engaging in a corporate acquisition or merger transaction with the Company. Any conversion, substitution or assumption will be effective as of the close of the merger or acquisition, and, to the extent applicable, will be conducted in a manner that complies with Code Section 409A. The Awards so granted may reflect the original terms of the awards being assumed or substituted or converted for and need not comply with other specific terms of the Plan, and may account for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w:t>
      </w:r>
    </w:p>
    <w:p>
      <w:pPr>
        <w:pStyle w:val="TextBody"/>
        <w:bidi w:val="0"/>
        <w:spacing w:lineRule="auto" w:line="288" w:before="140" w:after="283"/>
        <w:jc w:val="left"/>
        <w:rPr/>
      </w:pPr>
      <w:r>
        <w:rPr>
          <w:rFonts w:ascii="Arial;sans-serif" w:hAnsi="Arial;sans-serif"/>
          <w:b w:val="false"/>
          <w:color w:val="000000"/>
          <w:sz w:val="20"/>
        </w:rPr>
        <w:t xml:space="preserve">(b)In the event that a company acquired by the Company or with which the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Awards using such available shares may not be made after the date awards or grants could have been made under the terms of the pre-existing plan absent the acquisition or merger, and may only be made to individuals who were not employees or directors of the Company prior to such acquisition or merger. </w:t>
      </w:r>
    </w:p>
    <w:p>
      <w:pPr>
        <w:pStyle w:val="TextBody"/>
        <w:bidi w:val="0"/>
        <w:spacing w:lineRule="auto" w:line="288" w:before="140" w:after="283"/>
        <w:jc w:val="left"/>
        <w:rPr/>
      </w:pPr>
      <w:r>
        <w:rPr>
          <w:rFonts w:ascii="Arial;sans-serif" w:hAnsi="Arial;sans-serif"/>
          <w:b w:val="false"/>
          <w:color w:val="000000"/>
          <w:sz w:val="20"/>
        </w:rPr>
        <w:t xml:space="preserve">(c)Any shares of Stock that are issued or transferred by, or that are subject to any Awards that are granted by, or become obligations of, the Company under </w:t>
      </w:r>
      <w:r>
        <w:rPr>
          <w:rFonts w:ascii="Arial;sans-serif" w:hAnsi="Arial;sans-serif"/>
          <w:b/>
          <w:color w:val="000000"/>
          <w:sz w:val="20"/>
          <w:u w:val="single"/>
        </w:rPr>
        <w:t xml:space="preserve">Sections 5.7(a) </w:t>
      </w:r>
      <w:r>
        <w:rPr>
          <w:rFonts w:ascii="Arial;sans-serif" w:hAnsi="Arial;sans-serif"/>
          <w:b w:val="false"/>
          <w:color w:val="000000"/>
          <w:sz w:val="20"/>
        </w:rPr>
        <w:t xml:space="preserve">or </w:t>
      </w:r>
      <w:r>
        <w:rPr>
          <w:rFonts w:ascii="Arial;sans-serif" w:hAnsi="Arial;sans-serif"/>
          <w:b/>
          <w:color w:val="000000"/>
          <w:sz w:val="20"/>
          <w:u w:val="single"/>
        </w:rPr>
        <w:t xml:space="preserve">5.7(b) </w:t>
      </w:r>
      <w:r>
        <w:rPr>
          <w:rFonts w:ascii="Arial;sans-serif" w:hAnsi="Arial;sans-serif"/>
          <w:b w:val="false"/>
          <w:color w:val="000000"/>
          <w:sz w:val="20"/>
        </w:rPr>
        <w:t xml:space="preserve">above will not count against the limits contained in </w:t>
      </w:r>
      <w:r>
        <w:rPr>
          <w:rFonts w:ascii="Arial;sans-serif" w:hAnsi="Arial;sans-serif"/>
          <w:b/>
          <w:color w:val="000000"/>
          <w:sz w:val="20"/>
          <w:u w:val="single"/>
        </w:rPr>
        <w:t xml:space="preserve">Section 5 </w:t>
      </w:r>
      <w:r>
        <w:rPr>
          <w:rFonts w:ascii="Arial;sans-serif" w:hAnsi="Arial;sans-serif"/>
          <w:b w:val="false"/>
          <w:color w:val="000000"/>
          <w:sz w:val="20"/>
        </w:rPr>
        <w:t xml:space="preserve">of the Plan, provided in each case that the requirements for the exemption for mergers and acquisitions under rules and regulations of the stock exchange or other recognized market or quotation system on which the Stock is principally traded or quoted at the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- 6 -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- 6 -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r>
        <w:rPr>
          <w:rFonts w:ascii="Arial;sans-serif" w:hAnsi="Arial;sans-serif"/>
          <w:b w:val="false"/>
          <w:color w:val="000000"/>
          <w:sz w:val="20"/>
        </w:rPr>
        <w:t xml:space="preserve">relevant time are met. In addition, no shares of Stock that are issued or transferred by, or that are subject to any Awards that are granted by, or become obligations of, the Company under </w:t>
      </w:r>
      <w:r>
        <w:rPr>
          <w:rFonts w:ascii="Arial;sans-serif" w:hAnsi="Arial;sans-serif"/>
          <w:b/>
          <w:color w:val="000000"/>
          <w:sz w:val="20"/>
          <w:u w:val="single"/>
        </w:rPr>
        <w:t xml:space="preserve">Sections 5.7(a) </w:t>
      </w:r>
      <w:r>
        <w:rPr>
          <w:rFonts w:ascii="Arial;sans-serif" w:hAnsi="Arial;sans-serif"/>
          <w:b w:val="false"/>
          <w:color w:val="000000"/>
          <w:sz w:val="20"/>
        </w:rPr>
        <w:t xml:space="preserve">and </w:t>
      </w:r>
      <w:r>
        <w:rPr>
          <w:rFonts w:ascii="Arial;sans-serif" w:hAnsi="Arial;sans-serif"/>
          <w:b/>
          <w:color w:val="000000"/>
          <w:sz w:val="20"/>
          <w:u w:val="single"/>
        </w:rPr>
        <w:t xml:space="preserve">5.7(b) </w:t>
      </w:r>
      <w:r>
        <w:rPr>
          <w:rFonts w:ascii="Arial;sans-serif" w:hAnsi="Arial;sans-serif"/>
          <w:b w:val="false"/>
          <w:color w:val="000000"/>
          <w:sz w:val="20"/>
        </w:rPr>
        <w:t xml:space="preserve">above will be added to the aggregate plan limit contained in </w:t>
      </w:r>
      <w:r>
        <w:rPr>
          <w:rFonts w:ascii="Arial;sans-serif" w:hAnsi="Arial;sans-serif"/>
          <w:b/>
          <w:color w:val="000000"/>
          <w:sz w:val="20"/>
          <w:u w:val="single"/>
        </w:rPr>
        <w:t xml:space="preserve">Section 5.1 </w:t>
      </w:r>
      <w:r>
        <w:rPr>
          <w:rFonts w:ascii="Arial;sans-serif" w:hAnsi="Arial;sans-serif"/>
          <w:b w:val="false"/>
          <w:color w:val="000000"/>
          <w:sz w:val="20"/>
        </w:rPr>
        <w:t xml:space="preserve">of the Plan. </w:t>
      </w:r>
    </w:p>
    <w:p>
      <w:pPr>
        <w:pStyle w:val="TextBody"/>
        <w:bidi w:val="0"/>
        <w:spacing w:lineRule="auto" w:line="288" w:before="140" w:after="283"/>
        <w:ind w:left="0" w:right="0" w:firstLine="720"/>
        <w:jc w:val="left"/>
        <w:rPr/>
      </w:pPr>
      <w:r>
        <w:rPr>
          <w:rFonts w:ascii="Arial;sans-serif" w:hAnsi="Arial;sans-serif"/>
          <w:b w:val="false"/>
          <w:color w:val="000000"/>
          <w:sz w:val="20"/>
        </w:rPr>
        <w:t>5.8</w:t>
      </w:r>
      <w:r>
        <w:rPr>
          <w:rFonts w:ascii="Arial;sans-serif" w:hAnsi="Arial;sans-serif"/>
          <w:b w:val="false"/>
          <w:color w:val="000000"/>
          <w:sz w:val="20"/>
          <w:u w:val="single"/>
        </w:rPr>
        <w:t>Minimum Vesting Restriction</w:t>
      </w:r>
      <w:r>
        <w:rPr>
          <w:rFonts w:ascii="Arial;sans-serif" w:hAnsi="Arial;sans-serif"/>
          <w:b w:val="false"/>
          <w:color w:val="000000"/>
          <w:sz w:val="20"/>
        </w:rPr>
        <w:t xml:space="preserve">. Notwithstanding any other provision of the Plan to the contrary, equity-based Awards granted under the Plan shall vest no earlier than the first anniversary of the date the Award is granted (excluding, for this purpose, any (i) substitute awards under </w:t>
      </w:r>
      <w:r>
        <w:rPr>
          <w:rFonts w:ascii="Arial;sans-serif" w:hAnsi="Arial;sans-serif"/>
          <w:b/>
          <w:color w:val="000000"/>
          <w:sz w:val="20"/>
          <w:u w:val="single"/>
        </w:rPr>
        <w:t>Section 5.7</w:t>
      </w:r>
      <w:r>
        <w:rPr>
          <w:rFonts w:ascii="Arial;sans-serif" w:hAnsi="Arial;sans-serif"/>
          <w:b w:val="false"/>
          <w:color w:val="000000"/>
          <w:sz w:val="20"/>
        </w:rPr>
        <w:t xml:space="preserve">, (ii) shares delivered in lieu of fully vested cash Awards, and (iii) awards to Eligible Directors that vest on the earlier of the one year anniversary of the date of grant or the next annual meeting of stockholders which is at least 50 weeks after the immediately preceding year’s annual meeting);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Committee may grant equity-based Awards without regard to the foregoing minimum vesting requirement with respect to a maximum of five percent (5%) of the available share reserve authorized for issuance under the Plan pursuant to Section </w:t>
      </w:r>
      <w:r>
        <w:rPr>
          <w:rFonts w:ascii="Arial;sans-serif" w:hAnsi="Arial;sans-serif"/>
          <w:b/>
          <w:color w:val="000000"/>
          <w:sz w:val="20"/>
          <w:u w:val="single"/>
        </w:rPr>
        <w:t>5.1(a)</w:t>
      </w:r>
      <w:r>
        <w:rPr>
          <w:color w:val="000000"/>
        </w:rPr>
        <w:t xml:space="preserve"> </w:t>
      </w:r>
      <w:r>
        <w:rPr>
          <w:rFonts w:ascii="Arial;sans-serif" w:hAnsi="Arial;sans-serif"/>
          <w:b w:val="false"/>
          <w:color w:val="000000"/>
          <w:sz w:val="20"/>
        </w:rPr>
        <w:t xml:space="preserve">(subject to adjustment under </w:t>
      </w:r>
      <w:r>
        <w:rPr>
          <w:rFonts w:ascii="Arial;sans-serif" w:hAnsi="Arial;sans-serif"/>
          <w:b/>
          <w:color w:val="000000"/>
          <w:sz w:val="20"/>
          <w:u w:val="single"/>
        </w:rPr>
        <w:t>Section 5.5</w:t>
      </w:r>
      <w:r>
        <w:rPr>
          <w:rFonts w:ascii="Arial;sans-serif" w:hAnsi="Arial;sans-serif"/>
          <w:b w:val="false"/>
          <w:color w:val="000000"/>
          <w:sz w:val="20"/>
        </w:rPr>
        <w:t>); and, provided further, for the avoidance of doubt, that the foregoing restriction does not apply to the Committee’s discretion to provide for accelerated exercisability or vesting of any Award, including in cases of retirement, death, disability or a Change of Control, in the terms of the Award or otherwise.</w:t>
      </w:r>
    </w:p>
    <w:p>
      <w:pPr>
        <w:pStyle w:val="TextBody"/>
        <w:bidi w:val="0"/>
        <w:spacing w:lineRule="auto" w:line="288" w:before="140" w:after="283"/>
        <w:jc w:val="center"/>
        <w:rPr/>
      </w:pPr>
      <w:r>
        <w:rPr>
          <w:rFonts w:ascii="Arial;sans-serif" w:hAnsi="Arial;sans-serif"/>
          <w:b/>
          <w:color w:val="000000"/>
          <w:sz w:val="20"/>
        </w:rPr>
        <w:t>SECTION 6.</w:t>
      </w:r>
      <w:r>
        <w:rPr>
          <w:rFonts w:ascii="Arial;sans-serif" w:hAnsi="Arial;sans-serif"/>
          <w:b/>
          <w:color w:val="000000"/>
          <w:sz w:val="20"/>
        </w:rPr>
        <w:t xml:space="preserve">STOCK OPTIONS </w:t>
      </w:r>
    </w:p>
    <w:p>
      <w:pPr>
        <w:pStyle w:val="TextBody"/>
        <w:bidi w:val="0"/>
        <w:spacing w:lineRule="auto" w:line="288" w:before="140" w:after="283"/>
        <w:ind w:left="0" w:right="0" w:firstLine="720"/>
        <w:jc w:val="left"/>
        <w:rPr/>
      </w:pPr>
      <w:r>
        <w:rPr>
          <w:rFonts w:ascii="Arial;sans-serif" w:hAnsi="Arial;sans-serif"/>
          <w:b w:val="false"/>
          <w:color w:val="000000"/>
          <w:sz w:val="20"/>
        </w:rPr>
        <w:t>6.1</w:t>
      </w:r>
      <w:r>
        <w:rPr>
          <w:rFonts w:ascii="Arial;sans-serif" w:hAnsi="Arial;sans-serif"/>
          <w:b w:val="false"/>
          <w:color w:val="000000"/>
          <w:sz w:val="20"/>
          <w:u w:val="single"/>
        </w:rPr>
        <w:t>Grant of Options</w:t>
      </w:r>
      <w:r>
        <w:rPr>
          <w:rFonts w:ascii="Arial;sans-serif" w:hAnsi="Arial;sans-serif"/>
          <w:b w:val="false"/>
          <w:color w:val="000000"/>
          <w:sz w:val="20"/>
        </w:rPr>
        <w:t>. Options may be granted to Participants at such time or times as shall be determined by the Committee. Options granted under the Plan may be of two types: (a) Incentive Stock Options and (b) Options that do not or are not intended to qualify as Incentive Stock Options (“</w:t>
      </w:r>
      <w:r>
        <w:rPr>
          <w:rFonts w:ascii="Arial;sans-serif" w:hAnsi="Arial;sans-serif"/>
          <w:b/>
          <w:i/>
          <w:color w:val="000000"/>
          <w:sz w:val="20"/>
        </w:rPr>
        <w:t>Nonqualified Stock Options</w:t>
      </w:r>
      <w:r>
        <w:rPr>
          <w:color w:val="000000"/>
        </w:rPr>
        <w:t>”</w:t>
      </w:r>
      <w:r>
        <w:rPr>
          <w:rFonts w:ascii="Arial;sans-serif" w:hAnsi="Arial;sans-serif"/>
          <w:b w:val="false"/>
          <w:color w:val="000000"/>
          <w:sz w:val="20"/>
        </w:rPr>
        <w:t xml:space="preserve">). Each Option shall be evidenced by an Option Agreement that shall specify the type of Option granted, the exercise price, the duration of the Option, the number of shares of Stock to which the Option pertains, the exercisability (if any) of the Option, including in the event of death, retirement, disability, termination of employment, or Change of Control, and such other terms and conditions not inconsistent with the Plan as the Committee shall determine. Only Participants who are “employees” under Code Section 3401(c) shall be eligible to receive Incentive Stock Options. </w:t>
      </w:r>
    </w:p>
    <w:p>
      <w:pPr>
        <w:pStyle w:val="TextBody"/>
        <w:bidi w:val="0"/>
        <w:spacing w:lineRule="auto" w:line="288" w:before="140" w:after="283"/>
        <w:ind w:left="0" w:right="0" w:firstLine="720"/>
        <w:jc w:val="left"/>
        <w:rPr/>
      </w:pPr>
      <w:r>
        <w:rPr>
          <w:rFonts w:ascii="Arial;sans-serif" w:hAnsi="Arial;sans-serif"/>
          <w:b w:val="false"/>
          <w:color w:val="000000"/>
          <w:sz w:val="20"/>
        </w:rPr>
        <w:t>6.2</w:t>
      </w:r>
      <w:r>
        <w:rPr>
          <w:rFonts w:ascii="Arial;sans-serif" w:hAnsi="Arial;sans-serif"/>
          <w:b w:val="false"/>
          <w:color w:val="000000"/>
          <w:sz w:val="20"/>
          <w:u w:val="single"/>
        </w:rPr>
        <w:t>Option Price</w:t>
      </w:r>
      <w:r>
        <w:rPr>
          <w:rFonts w:ascii="Arial;sans-serif" w:hAnsi="Arial;sans-serif"/>
          <w:b w:val="false"/>
          <w:color w:val="000000"/>
          <w:sz w:val="20"/>
        </w:rPr>
        <w:t xml:space="preserve">. Subject to adjustments to an exercise price permitted pursuant to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or as permitted under </w:t>
      </w:r>
      <w:r>
        <w:rPr>
          <w:rFonts w:ascii="Arial;sans-serif" w:hAnsi="Arial;sans-serif"/>
          <w:b/>
          <w:color w:val="000000"/>
          <w:sz w:val="20"/>
          <w:u w:val="single"/>
        </w:rPr>
        <w:t>Section 5.7</w:t>
      </w:r>
      <w:r>
        <w:rPr>
          <w:rFonts w:ascii="Arial;sans-serif" w:hAnsi="Arial;sans-serif"/>
          <w:b w:val="false"/>
          <w:color w:val="000000"/>
          <w:sz w:val="20"/>
        </w:rPr>
        <w:t xml:space="preserve">, Nonqualified Stock Options and Incentive Stock Options granted pursuant to the Plan shall have an exercise price that is not less than the Fair Market Value on the date the Option is granted. </w:t>
      </w:r>
    </w:p>
    <w:p>
      <w:pPr>
        <w:pStyle w:val="TextBody"/>
        <w:bidi w:val="0"/>
        <w:spacing w:lineRule="auto" w:line="288" w:before="140" w:after="283"/>
        <w:ind w:left="0" w:right="0" w:firstLine="720"/>
        <w:jc w:val="left"/>
        <w:rPr/>
      </w:pPr>
      <w:r>
        <w:rPr>
          <w:rFonts w:ascii="Arial;sans-serif" w:hAnsi="Arial;sans-serif"/>
          <w:b w:val="false"/>
          <w:color w:val="000000"/>
          <w:sz w:val="20"/>
        </w:rPr>
        <w:t>6.3</w:t>
      </w:r>
      <w:r>
        <w:rPr>
          <w:rFonts w:ascii="Arial;sans-serif" w:hAnsi="Arial;sans-serif"/>
          <w:b w:val="false"/>
          <w:color w:val="000000"/>
          <w:sz w:val="20"/>
          <w:u w:val="single"/>
        </w:rPr>
        <w:t>Exercise of Options</w:t>
      </w:r>
      <w:r>
        <w:rPr>
          <w:rFonts w:ascii="Arial;sans-serif" w:hAnsi="Arial;sans-serif"/>
          <w:b w:val="false"/>
          <w:color w:val="000000"/>
          <w:sz w:val="20"/>
        </w:rPr>
        <w:t xml:space="preserve">. Subject to </w:t>
      </w:r>
      <w:r>
        <w:rPr>
          <w:rFonts w:ascii="Arial;sans-serif" w:hAnsi="Arial;sans-serif"/>
          <w:b/>
          <w:color w:val="000000"/>
          <w:sz w:val="20"/>
          <w:u w:val="single"/>
        </w:rPr>
        <w:t>Section 5.8</w:t>
      </w:r>
      <w:r>
        <w:rPr>
          <w:rFonts w:ascii="Arial;sans-serif" w:hAnsi="Arial;sans-serif"/>
          <w:b w:val="false"/>
          <w:color w:val="000000"/>
          <w:sz w:val="20"/>
        </w:rPr>
        <w:t xml:space="preserve">, Options awarded to a Participant under the Plan shall be exercisable at such times and shall be subject to such restrictions and conditions as the Committee may impose. Notwithstanding the foregoing, no Option shall be exercisable for more than ten years after the date on which it is granted. In addition, the Committee may provide in any Agreement for the automatic exercise of an Option upon such terms and conditions as established by the Committee. </w:t>
      </w:r>
    </w:p>
    <w:p>
      <w:pPr>
        <w:pStyle w:val="TextBody"/>
        <w:bidi w:val="0"/>
        <w:spacing w:lineRule="auto" w:line="288" w:before="140" w:after="283"/>
        <w:ind w:left="0" w:right="0" w:firstLine="720"/>
        <w:jc w:val="left"/>
        <w:rPr/>
      </w:pPr>
      <w:r>
        <w:rPr>
          <w:rFonts w:ascii="Arial;sans-serif" w:hAnsi="Arial;sans-serif"/>
          <w:b w:val="false"/>
          <w:color w:val="000000"/>
          <w:sz w:val="20"/>
        </w:rPr>
        <w:t>6.4</w:t>
      </w:r>
      <w:r>
        <w:rPr>
          <w:rFonts w:ascii="Arial;sans-serif" w:hAnsi="Arial;sans-serif"/>
          <w:b w:val="false"/>
          <w:color w:val="000000"/>
          <w:sz w:val="20"/>
          <w:u w:val="single"/>
        </w:rPr>
        <w:t>Payment</w:t>
      </w:r>
      <w:r>
        <w:rPr>
          <w:rFonts w:ascii="Arial;sans-serif" w:hAnsi="Arial;sans-serif"/>
          <w:b w:val="false"/>
          <w:color w:val="000000"/>
          <w:sz w:val="20"/>
        </w:rPr>
        <w:t xml:space="preserve">. The Committee shall establish procedures governing the exercise of Options, which shall require that notice of exercise be given and that the Option exercise price be paid in full in cash or cash equivalents, including by personal check, at the time of exercise or pursuant to any arrangement that the Committee shall approve (as long as such arrangement does not conflict with the Company’s global ethics policy, as may be in force and effect from time to time. An Option Award may also provide for the exercise price to be payable (a) by the actual or constructive transfer to the Company of shares of Stock owned by the Participant having a value at the time of exercise equal to the total Option exercise price, (b) subject to any conditions or limitations established by the Committee, by the withholding of shares of Stock otherwise issuable upon exercise of the Option pursuant to a “net exercise” arrangement (it being understood that, solely for purposes of determining the number of treasury shares held by the Company, the shares of Stock so withheld will not be treated as issued and acquired by the Company upon such exercise) or (c) by a combination of such methods of payment. Subject to applicable law, the Committee may also permit a Participant to elect to pay the exercise price upon the exercise of an Option by irrevocably authorizing a third party to sell shares of Stock (or a sufficient portion of the shares) acquired upon the exercise of the Option and remit to the Company a sufficient portion of the sale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- 7 -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- 7 -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proceeds to pay the entire exercise price and any withholding taxes resulting from such exercise. The Committee may approve other methods of payment. As soon as practicable after receipt of a notice of exercise and full payment of the exercise price, the Company shall deliver to the Participant, by electronic means, the acquired shares of Stock. </w:t>
      </w:r>
    </w:p>
    <w:p>
      <w:pPr>
        <w:pStyle w:val="TextBody"/>
        <w:bidi w:val="0"/>
        <w:spacing w:lineRule="auto" w:line="288" w:before="140" w:after="283"/>
        <w:ind w:left="0" w:right="0" w:firstLine="720"/>
        <w:jc w:val="left"/>
        <w:rPr/>
      </w:pPr>
      <w:r>
        <w:rPr>
          <w:rFonts w:ascii="Arial;sans-serif" w:hAnsi="Arial;sans-serif"/>
          <w:b w:val="false"/>
          <w:color w:val="000000"/>
          <w:sz w:val="20"/>
        </w:rPr>
        <w:t>6.5</w:t>
      </w:r>
      <w:r>
        <w:rPr>
          <w:rFonts w:ascii="Arial;sans-serif" w:hAnsi="Arial;sans-serif"/>
          <w:b w:val="false"/>
          <w:color w:val="000000"/>
          <w:sz w:val="20"/>
          <w:u w:val="single"/>
        </w:rPr>
        <w:t>Incentive Stock Options</w:t>
      </w:r>
      <w:r>
        <w:rPr>
          <w:rFonts w:ascii="Arial;sans-serif" w:hAnsi="Arial;sans-serif"/>
          <w:b w:val="false"/>
          <w:color w:val="000000"/>
          <w:sz w:val="20"/>
        </w:rPr>
        <w:t xml:space="preserve">. Notwithstanding anything in the Plan to the contrary, except with respect to the Committee’s discretion to terminate or adjust awards under </w:t>
      </w:r>
      <w:r>
        <w:rPr>
          <w:rFonts w:ascii="Arial;sans-serif" w:hAnsi="Arial;sans-serif"/>
          <w:b/>
          <w:color w:val="000000"/>
          <w:sz w:val="20"/>
          <w:u w:val="single"/>
        </w:rPr>
        <w:t>Section 12.5</w:t>
      </w:r>
      <w:r>
        <w:rPr>
          <w:rFonts w:ascii="Arial;sans-serif" w:hAnsi="Arial;sans-serif"/>
          <w:b w:val="false"/>
          <w:color w:val="000000"/>
          <w:sz w:val="20"/>
        </w:rPr>
        <w:t xml:space="preserve">, no term of the Plan relating to Incentive Stock Options shall be interpreted, amended or altered, nor shall any discretion or authority granted under the Plan be so exercised, so as to disqualify the Plan under Code Section 422, or, without the consent of any Participant affected thereby, to cause any Incentive Stock Option previously granted to fail to qualify for the Federal income tax treatment afforded under Code Section 421. </w:t>
      </w:r>
    </w:p>
    <w:p>
      <w:pPr>
        <w:pStyle w:val="TextBody"/>
        <w:bidi w:val="0"/>
        <w:spacing w:lineRule="auto" w:line="288" w:before="140" w:after="283"/>
        <w:ind w:left="0" w:right="0" w:firstLine="720"/>
        <w:jc w:val="left"/>
        <w:rPr/>
      </w:pPr>
      <w:r>
        <w:rPr>
          <w:rFonts w:ascii="Arial;sans-serif" w:hAnsi="Arial;sans-serif"/>
          <w:b w:val="false"/>
          <w:color w:val="000000"/>
          <w:sz w:val="20"/>
        </w:rPr>
        <w:t>6.6</w:t>
      </w:r>
      <w:r>
        <w:rPr>
          <w:rFonts w:ascii="Arial;sans-serif" w:hAnsi="Arial;sans-serif"/>
          <w:b w:val="false"/>
          <w:color w:val="000000"/>
          <w:sz w:val="20"/>
          <w:u w:val="single"/>
        </w:rPr>
        <w:t>No Reload Grants</w:t>
      </w:r>
      <w:r>
        <w:rPr>
          <w:rFonts w:ascii="Arial;sans-serif" w:hAnsi="Arial;sans-serif"/>
          <w:b w:val="false"/>
          <w:color w:val="000000"/>
          <w:sz w:val="20"/>
        </w:rPr>
        <w:t xml:space="preserve">. Options shall not be granted under the Plan in consideration for the delivery of Stock to the Company in payment of the exercise price and/or tax withholding obligation under any other Option or SAR. </w:t>
      </w:r>
    </w:p>
    <w:p>
      <w:pPr>
        <w:pStyle w:val="TextBody"/>
        <w:bidi w:val="0"/>
        <w:spacing w:lineRule="auto" w:line="288" w:before="140" w:after="283"/>
        <w:jc w:val="center"/>
        <w:rPr/>
      </w:pPr>
      <w:r>
        <w:rPr>
          <w:rFonts w:ascii="Arial;sans-serif" w:hAnsi="Arial;sans-serif"/>
          <w:b/>
          <w:color w:val="000000"/>
          <w:sz w:val="20"/>
        </w:rPr>
        <w:t>SECTION 7.</w:t>
      </w:r>
      <w:r>
        <w:rPr>
          <w:rFonts w:ascii="Arial;sans-serif" w:hAnsi="Arial;sans-serif"/>
          <w:b/>
          <w:color w:val="000000"/>
          <w:sz w:val="20"/>
        </w:rPr>
        <w:t xml:space="preserve">DIRECTOR AWARDS </w:t>
      </w:r>
    </w:p>
    <w:p>
      <w:pPr>
        <w:pStyle w:val="TextBody"/>
        <w:bidi w:val="0"/>
        <w:spacing w:lineRule="auto" w:line="288" w:before="140" w:after="283"/>
        <w:ind w:left="0" w:right="0" w:firstLine="720"/>
        <w:jc w:val="left"/>
        <w:rPr/>
      </w:pPr>
      <w:r>
        <w:rPr>
          <w:rFonts w:ascii="Arial;sans-serif" w:hAnsi="Arial;sans-serif"/>
          <w:b w:val="false"/>
          <w:color w:val="000000"/>
          <w:sz w:val="20"/>
        </w:rPr>
        <w:t>7.1</w:t>
      </w:r>
      <w:r>
        <w:rPr>
          <w:rFonts w:ascii="Arial;sans-serif" w:hAnsi="Arial;sans-serif"/>
          <w:b w:val="false"/>
          <w:color w:val="000000"/>
          <w:sz w:val="20"/>
          <w:u w:val="single"/>
        </w:rPr>
        <w:t>Director Awards</w:t>
      </w:r>
      <w:r>
        <w:rPr>
          <w:rFonts w:ascii="Arial;sans-serif" w:hAnsi="Arial;sans-serif"/>
          <w:b w:val="false"/>
          <w:color w:val="000000"/>
          <w:sz w:val="20"/>
        </w:rPr>
        <w:t xml:space="preserve">. Any Award, or formula for granting an Award, under the Plan to Eligible Directors shall be approved by the Board. With respect to Awards to such directors, all rights, powers and authorities vested in the Committee under the Plan shall instead be exercised by the Board. </w:t>
      </w:r>
    </w:p>
    <w:p>
      <w:pPr>
        <w:pStyle w:val="TextBody"/>
        <w:bidi w:val="0"/>
        <w:spacing w:lineRule="auto" w:line="288" w:before="140" w:after="283"/>
        <w:jc w:val="center"/>
        <w:rPr/>
      </w:pPr>
      <w:r>
        <w:rPr>
          <w:rFonts w:ascii="Arial;sans-serif" w:hAnsi="Arial;sans-serif"/>
          <w:b/>
          <w:color w:val="000000"/>
          <w:sz w:val="20"/>
        </w:rPr>
        <w:t>SECTION 8.</w:t>
      </w:r>
      <w:r>
        <w:rPr>
          <w:rFonts w:ascii="Arial;sans-serif" w:hAnsi="Arial;sans-serif"/>
          <w:b/>
          <w:color w:val="000000"/>
          <w:sz w:val="20"/>
        </w:rPr>
        <w:t xml:space="preserve">STOCK APPRECIATION RIGHTS </w:t>
      </w:r>
    </w:p>
    <w:p>
      <w:pPr>
        <w:pStyle w:val="TextBody"/>
        <w:bidi w:val="0"/>
        <w:spacing w:lineRule="auto" w:line="288" w:before="140" w:after="283"/>
        <w:ind w:left="0" w:right="0" w:firstLine="720"/>
        <w:jc w:val="left"/>
        <w:rPr/>
      </w:pPr>
      <w:r>
        <w:rPr>
          <w:rFonts w:ascii="Arial;sans-serif" w:hAnsi="Arial;sans-serif"/>
          <w:b w:val="false"/>
          <w:color w:val="000000"/>
          <w:sz w:val="20"/>
        </w:rPr>
        <w:t>8.1</w:t>
      </w:r>
      <w:r>
        <w:rPr>
          <w:rFonts w:ascii="Arial;sans-serif" w:hAnsi="Arial;sans-serif"/>
          <w:b w:val="false"/>
          <w:color w:val="000000"/>
          <w:sz w:val="20"/>
          <w:u w:val="single"/>
        </w:rPr>
        <w:t>SARs In Tandem with Options</w:t>
      </w:r>
      <w:r>
        <w:rPr>
          <w:rFonts w:ascii="Arial;sans-serif" w:hAnsi="Arial;sans-serif"/>
          <w:b w:val="false"/>
          <w:color w:val="000000"/>
          <w:sz w:val="20"/>
        </w:rPr>
        <w:t xml:space="preserve">. SARs may be granted to Participants in tandem with any Option granted under the Plan, either at or after the time of the grant of such Option, subject to such terms and conditions, not inconsistent with the provisions of the Plan, as the Committee shall determine. Each SAR granted in tandem with an Option shall only be exercisable to the extent that the corresponding Option is exercisable, and shall terminate upon termination or exercise of the corresponding Option. Upon the exercise of any SAR granted in tandem with an Option, the corresponding Option shall terminate. </w:t>
      </w:r>
    </w:p>
    <w:p>
      <w:pPr>
        <w:pStyle w:val="TextBody"/>
        <w:bidi w:val="0"/>
        <w:spacing w:lineRule="auto" w:line="288" w:before="140" w:after="283"/>
        <w:ind w:left="0" w:right="0" w:firstLine="720"/>
        <w:jc w:val="left"/>
        <w:rPr/>
      </w:pPr>
      <w:r>
        <w:rPr>
          <w:rFonts w:ascii="Arial;sans-serif" w:hAnsi="Arial;sans-serif"/>
          <w:b w:val="false"/>
          <w:color w:val="000000"/>
          <w:sz w:val="20"/>
        </w:rPr>
        <w:t>8.2</w:t>
      </w:r>
      <w:r>
        <w:rPr>
          <w:rFonts w:ascii="Arial;sans-serif" w:hAnsi="Arial;sans-serif"/>
          <w:b w:val="false"/>
          <w:color w:val="000000"/>
          <w:sz w:val="20"/>
          <w:u w:val="single"/>
        </w:rPr>
        <w:t>Other SARs</w:t>
      </w:r>
      <w:r>
        <w:rPr>
          <w:rFonts w:ascii="Arial;sans-serif" w:hAnsi="Arial;sans-serif"/>
          <w:b w:val="false"/>
          <w:color w:val="000000"/>
          <w:sz w:val="20"/>
        </w:rPr>
        <w:t xml:space="preserve">. SARs may also be granted to Participants separately from any Option, subject to such terms and conditions, not inconsistent with the provisions of the Plan, as the Committee shall determine. </w:t>
      </w:r>
    </w:p>
    <w:p>
      <w:pPr>
        <w:pStyle w:val="TextBody"/>
        <w:bidi w:val="0"/>
        <w:spacing w:lineRule="auto" w:line="288" w:before="140" w:after="283"/>
        <w:ind w:left="0" w:right="0" w:firstLine="720"/>
        <w:jc w:val="left"/>
        <w:rPr/>
      </w:pPr>
      <w:r>
        <w:rPr>
          <w:rFonts w:ascii="Arial;sans-serif" w:hAnsi="Arial;sans-serif"/>
          <w:b w:val="false"/>
          <w:color w:val="000000"/>
          <w:sz w:val="20"/>
        </w:rPr>
        <w:t>8.3</w:t>
      </w:r>
      <w:r>
        <w:rPr>
          <w:rFonts w:ascii="Arial;sans-serif" w:hAnsi="Arial;sans-serif"/>
          <w:b w:val="false"/>
          <w:color w:val="000000"/>
          <w:sz w:val="20"/>
          <w:u w:val="single"/>
        </w:rPr>
        <w:t>SAR Price</w:t>
      </w:r>
      <w:r>
        <w:rPr>
          <w:rFonts w:ascii="Arial;sans-serif" w:hAnsi="Arial;sans-serif"/>
          <w:b w:val="false"/>
          <w:color w:val="000000"/>
          <w:sz w:val="20"/>
        </w:rPr>
        <w:t xml:space="preserve">. Subject to adjustments to an exercise price permitted pursuant to </w:t>
      </w:r>
      <w:r>
        <w:rPr>
          <w:rFonts w:ascii="Arial;sans-serif" w:hAnsi="Arial;sans-serif"/>
          <w:b/>
          <w:color w:val="000000"/>
          <w:sz w:val="20"/>
          <w:u w:val="single"/>
        </w:rPr>
        <w:t>Section 5.5</w:t>
      </w:r>
      <w:r>
        <w:rPr>
          <w:color w:val="000000"/>
        </w:rPr>
        <w:t xml:space="preserve"> </w:t>
      </w:r>
      <w:r>
        <w:rPr>
          <w:rFonts w:ascii="Arial;sans-serif" w:hAnsi="Arial;sans-serif"/>
          <w:b w:val="false"/>
          <w:color w:val="000000"/>
          <w:sz w:val="20"/>
        </w:rPr>
        <w:t xml:space="preserve">or as permitted under </w:t>
      </w:r>
      <w:r>
        <w:rPr>
          <w:rFonts w:ascii="Arial;sans-serif" w:hAnsi="Arial;sans-serif"/>
          <w:b/>
          <w:color w:val="000000"/>
          <w:sz w:val="20"/>
          <w:u w:val="single"/>
        </w:rPr>
        <w:t>Section 5.7</w:t>
      </w:r>
      <w:r>
        <w:rPr>
          <w:rFonts w:ascii="Arial;sans-serif" w:hAnsi="Arial;sans-serif"/>
          <w:b w:val="false"/>
          <w:color w:val="000000"/>
          <w:sz w:val="20"/>
        </w:rPr>
        <w:t xml:space="preserve">, SARs granted pursuant to the Plan shall have an exercise price which is not less than the Fair Market Value on the date the SAR is granted. </w:t>
      </w:r>
    </w:p>
    <w:p>
      <w:pPr>
        <w:pStyle w:val="TextBody"/>
        <w:bidi w:val="0"/>
        <w:spacing w:lineRule="auto" w:line="288" w:before="140" w:after="283"/>
        <w:ind w:left="0" w:right="0" w:firstLine="720"/>
        <w:jc w:val="left"/>
        <w:rPr/>
      </w:pPr>
      <w:r>
        <w:rPr>
          <w:rFonts w:ascii="Arial;sans-serif" w:hAnsi="Arial;sans-serif"/>
          <w:b w:val="false"/>
          <w:color w:val="000000"/>
          <w:sz w:val="20"/>
        </w:rPr>
        <w:t>8.4</w:t>
      </w:r>
      <w:r>
        <w:rPr>
          <w:rFonts w:ascii="Arial;sans-serif" w:hAnsi="Arial;sans-serif"/>
          <w:b w:val="false"/>
          <w:color w:val="000000"/>
          <w:sz w:val="20"/>
          <w:u w:val="single"/>
        </w:rPr>
        <w:t>Exercise of SARs</w:t>
      </w:r>
      <w:r>
        <w:rPr>
          <w:rFonts w:ascii="Arial;sans-serif" w:hAnsi="Arial;sans-serif"/>
          <w:b w:val="false"/>
          <w:color w:val="000000"/>
          <w:sz w:val="20"/>
        </w:rPr>
        <w:t xml:space="preserve">. Subject to </w:t>
      </w:r>
      <w:r>
        <w:rPr>
          <w:rFonts w:ascii="Arial;sans-serif" w:hAnsi="Arial;sans-serif"/>
          <w:b/>
          <w:color w:val="000000"/>
          <w:sz w:val="20"/>
          <w:u w:val="single"/>
        </w:rPr>
        <w:t>Section 5.8</w:t>
      </w:r>
      <w:r>
        <w:rPr>
          <w:rFonts w:ascii="Arial;sans-serif" w:hAnsi="Arial;sans-serif"/>
          <w:b w:val="false"/>
          <w:color w:val="000000"/>
          <w:sz w:val="20"/>
        </w:rPr>
        <w:t xml:space="preserve">, SARs awarded to a Participant under the Plan shall be exercisable at such times and shall be subject to such restrictions and conditions as the Committee may impose. Notwithstanding the foregoing, no SAR shall be exercisable for more than ten years after the date on which it is granted. In addition, the Committee may provide in any Agreement for the automatic exercise of a SAR upon such terms and conditions as established by the Committee. </w:t>
      </w:r>
    </w:p>
    <w:p>
      <w:pPr>
        <w:pStyle w:val="TextBody"/>
        <w:bidi w:val="0"/>
        <w:spacing w:lineRule="auto" w:line="288" w:before="140" w:after="283"/>
        <w:ind w:left="0" w:right="0" w:firstLine="720"/>
        <w:jc w:val="left"/>
        <w:rPr/>
      </w:pPr>
      <w:r>
        <w:rPr>
          <w:rFonts w:ascii="Arial;sans-serif" w:hAnsi="Arial;sans-serif"/>
          <w:b w:val="false"/>
          <w:color w:val="000000"/>
          <w:sz w:val="20"/>
        </w:rPr>
        <w:t>8.5</w:t>
      </w:r>
      <w:r>
        <w:rPr>
          <w:rFonts w:ascii="Arial;sans-serif" w:hAnsi="Arial;sans-serif"/>
          <w:b w:val="false"/>
          <w:color w:val="000000"/>
          <w:sz w:val="20"/>
          <w:u w:val="single"/>
        </w:rPr>
        <w:t>Payment</w:t>
      </w:r>
      <w:r>
        <w:rPr>
          <w:rFonts w:ascii="Arial;sans-serif" w:hAnsi="Arial;sans-serif"/>
          <w:b w:val="false"/>
          <w:color w:val="000000"/>
          <w:sz w:val="20"/>
        </w:rPr>
        <w:t xml:space="preserve">. The Committee shall establish procedures governing the exercise of SARs, which shall require that notice of exercise be given and that the Participant satisfy any tax withholding requirements resulting from such exercise as provided in </w:t>
      </w:r>
      <w:r>
        <w:rPr>
          <w:rFonts w:ascii="Arial;sans-serif" w:hAnsi="Arial;sans-serif"/>
          <w:b/>
          <w:color w:val="000000"/>
          <w:sz w:val="20"/>
          <w:u w:val="single"/>
        </w:rPr>
        <w:t>Section 12.4</w:t>
      </w:r>
      <w:r>
        <w:rPr>
          <w:rFonts w:ascii="Arial;sans-serif" w:hAnsi="Arial;sans-serif"/>
          <w:b w:val="false"/>
          <w:color w:val="000000"/>
          <w:sz w:val="20"/>
        </w:rPr>
        <w:t xml:space="preserve">. As soon as practicable after receipt of a notice of exercise and full payment of any withholding taxes, the Company shall deliver to the Participant (i) by electronic means the acquired shares of Stock or (ii) the cash payment, as specified in the applicable Agreement. </w:t>
      </w:r>
    </w:p>
    <w:p>
      <w:pPr>
        <w:pStyle w:val="TextBody"/>
        <w:bidi w:val="0"/>
        <w:spacing w:lineRule="auto" w:line="288" w:before="140" w:after="283"/>
        <w:ind w:left="0" w:right="0" w:firstLine="720"/>
        <w:jc w:val="left"/>
        <w:rPr/>
      </w:pPr>
      <w:r>
        <w:rPr>
          <w:rFonts w:ascii="Arial;sans-serif" w:hAnsi="Arial;sans-serif"/>
          <w:b w:val="false"/>
          <w:color w:val="000000"/>
          <w:sz w:val="20"/>
        </w:rPr>
        <w:t>8.6</w:t>
      </w:r>
      <w:r>
        <w:rPr>
          <w:rFonts w:ascii="Arial;sans-serif" w:hAnsi="Arial;sans-serif"/>
          <w:b w:val="false"/>
          <w:color w:val="000000"/>
          <w:sz w:val="20"/>
          <w:u w:val="single"/>
        </w:rPr>
        <w:t>No Reload Grants</w:t>
      </w:r>
      <w:r>
        <w:rPr>
          <w:rFonts w:ascii="Arial;sans-serif" w:hAnsi="Arial;sans-serif"/>
          <w:b w:val="false"/>
          <w:color w:val="000000"/>
          <w:sz w:val="20"/>
        </w:rPr>
        <w:t xml:space="preserve">. SARs shall not be granted under the Plan in consideration for the delivery of Stock to the Company in payment of the exercise price and/or tax withholding obligation under any other SAR or Option.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- 8 -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- 8 -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center"/>
        <w:rPr/>
      </w:pPr>
      <w:r>
        <w:rPr>
          <w:rFonts w:ascii="Arial;sans-serif" w:hAnsi="Arial;sans-serif"/>
          <w:b/>
          <w:color w:val="000000"/>
          <w:sz w:val="20"/>
        </w:rPr>
        <w:t>SECTION 9.</w:t>
      </w:r>
      <w:r>
        <w:rPr>
          <w:rFonts w:ascii="Arial;sans-serif" w:hAnsi="Arial;sans-serif"/>
          <w:b/>
          <w:color w:val="000000"/>
          <w:sz w:val="20"/>
        </w:rPr>
        <w:t xml:space="preserve">RESTRICTED STOCK; OTHER </w:t>
        <w:br/>
        <w:t xml:space="preserve">STOCK-BASED AWARDS; CERTAIN LIMITATIONS ON AWARDS </w:t>
      </w:r>
    </w:p>
    <w:p>
      <w:pPr>
        <w:pStyle w:val="TextBody"/>
        <w:bidi w:val="0"/>
        <w:spacing w:lineRule="auto" w:line="288" w:before="140" w:after="283"/>
        <w:ind w:left="0" w:right="0" w:firstLine="720"/>
        <w:jc w:val="left"/>
        <w:rPr/>
      </w:pPr>
      <w:r>
        <w:rPr>
          <w:rFonts w:ascii="Arial;sans-serif" w:hAnsi="Arial;sans-serif"/>
          <w:b w:val="false"/>
          <w:color w:val="000000"/>
          <w:sz w:val="20"/>
        </w:rPr>
        <w:t>9.1</w:t>
      </w:r>
      <w:r>
        <w:rPr>
          <w:rFonts w:ascii="Arial;sans-serif" w:hAnsi="Arial;sans-serif"/>
          <w:b w:val="false"/>
          <w:color w:val="000000"/>
          <w:sz w:val="20"/>
          <w:u w:val="single"/>
        </w:rPr>
        <w:t>General</w:t>
      </w:r>
      <w:r>
        <w:rPr>
          <w:rFonts w:ascii="Arial;sans-serif" w:hAnsi="Arial;sans-serif"/>
          <w:b w:val="false"/>
          <w:color w:val="000000"/>
          <w:sz w:val="20"/>
        </w:rPr>
        <w:t xml:space="preserve">. Restricted Stock, Restricted Stock Units, Other Stock-Based Awards, and Performance Shares may be granted to Participants at such times and in such amounts, and subject to such other terms (including in accordance with </w:t>
      </w:r>
      <w:r>
        <w:rPr>
          <w:rFonts w:ascii="Arial;sans-serif" w:hAnsi="Arial;sans-serif"/>
          <w:b/>
          <w:color w:val="000000"/>
          <w:sz w:val="20"/>
          <w:u w:val="single"/>
        </w:rPr>
        <w:t>Section 5.8</w:t>
      </w:r>
      <w:r>
        <w:rPr>
          <w:rFonts w:ascii="Arial;sans-serif" w:hAnsi="Arial;sans-serif"/>
          <w:b w:val="false"/>
          <w:color w:val="000000"/>
          <w:sz w:val="20"/>
        </w:rPr>
        <w:t xml:space="preserve">) and conditions not inconsistent with the Plan, as shall be determined by the Committee. Each grant of an Award under this </w:t>
      </w:r>
      <w:r>
        <w:rPr>
          <w:rFonts w:ascii="Arial;sans-serif" w:hAnsi="Arial;sans-serif"/>
          <w:b/>
          <w:color w:val="000000"/>
          <w:sz w:val="20"/>
          <w:u w:val="single"/>
        </w:rPr>
        <w:t>Section 9</w:t>
      </w:r>
      <w:r>
        <w:rPr>
          <w:color w:val="000000"/>
        </w:rPr>
        <w:t xml:space="preserve"> </w:t>
      </w:r>
      <w:r>
        <w:rPr>
          <w:rFonts w:ascii="Arial;sans-serif" w:hAnsi="Arial;sans-serif"/>
          <w:b w:val="false"/>
          <w:color w:val="000000"/>
          <w:sz w:val="20"/>
        </w:rPr>
        <w:t xml:space="preserve">shall be evidenced by an Agreement that shall specify the terms and conditions of the Award not inconsistent with the Plan as the Committee shall determine. </w:t>
      </w:r>
    </w:p>
    <w:p>
      <w:pPr>
        <w:pStyle w:val="TextBody"/>
        <w:bidi w:val="0"/>
        <w:spacing w:lineRule="auto" w:line="288" w:before="140" w:after="283"/>
        <w:ind w:left="0" w:right="0" w:firstLine="720"/>
        <w:jc w:val="left"/>
        <w:rPr/>
      </w:pPr>
      <w:r>
        <w:rPr>
          <w:rFonts w:ascii="Arial;sans-serif" w:hAnsi="Arial;sans-serif"/>
          <w:b w:val="false"/>
          <w:color w:val="000000"/>
          <w:sz w:val="20"/>
        </w:rPr>
        <w:t>9.2</w:t>
      </w:r>
      <w:r>
        <w:rPr>
          <w:rFonts w:ascii="Arial;sans-serif" w:hAnsi="Arial;sans-serif"/>
          <w:b w:val="false"/>
          <w:color w:val="000000"/>
          <w:sz w:val="20"/>
          <w:u w:val="single"/>
        </w:rPr>
        <w:t>Grant of Restricted Stock</w:t>
      </w:r>
      <w:r>
        <w:rPr>
          <w:rFonts w:ascii="Arial;sans-serif" w:hAnsi="Arial;sans-serif"/>
          <w:b w:val="false"/>
          <w:color w:val="000000"/>
          <w:sz w:val="20"/>
        </w:rPr>
        <w:t xml:space="preserve">. Each grant of Restricted Stock shall be subject to such restrictions, which may relate to continued employment with the Company, performance of the Company or the Participant, or other restrictions, as the Committee may determine. </w:t>
      </w:r>
    </w:p>
    <w:p>
      <w:pPr>
        <w:pStyle w:val="TextBody"/>
        <w:bidi w:val="0"/>
        <w:spacing w:lineRule="auto" w:line="288" w:before="140" w:after="283"/>
        <w:ind w:left="0" w:right="0" w:firstLine="720"/>
        <w:jc w:val="left"/>
        <w:rPr/>
      </w:pPr>
      <w:r>
        <w:rPr>
          <w:rFonts w:ascii="Arial;sans-serif" w:hAnsi="Arial;sans-serif"/>
          <w:b w:val="false"/>
          <w:color w:val="000000"/>
          <w:sz w:val="20"/>
        </w:rPr>
        <w:t>9.3</w:t>
      </w:r>
      <w:r>
        <w:rPr>
          <w:rFonts w:ascii="Arial;sans-serif" w:hAnsi="Arial;sans-serif"/>
          <w:b w:val="false"/>
          <w:color w:val="000000"/>
          <w:sz w:val="20"/>
          <w:u w:val="single"/>
        </w:rPr>
        <w:t>Other Stock-Based Awards, General</w:t>
      </w:r>
      <w:r>
        <w:rPr>
          <w:rFonts w:ascii="Arial;sans-serif" w:hAnsi="Arial;sans-serif"/>
          <w:b w:val="false"/>
          <w:color w:val="000000"/>
          <w:sz w:val="20"/>
        </w:rPr>
        <w:t xml:space="preserve">. Other Stock-Based Awards shall be in such form, and dependent on such conditions, as the Committee shall determine, including, without limitation, the right to receive or vest with respect to, one or more shares of Stock (or the equivalent cash value of such Stock) upon the completion of a specified period of service, the occurrence of an event, and/or the attainment of one or more performance objectives. Such Other Stock-Based Awards may include Restricted Stock Units, Performance Shares, and Stock awards permitted under </w:t>
      </w:r>
      <w:r>
        <w:rPr>
          <w:rFonts w:ascii="Arial;sans-serif" w:hAnsi="Arial;sans-serif"/>
          <w:b/>
          <w:color w:val="000000"/>
          <w:sz w:val="20"/>
          <w:u w:val="single"/>
        </w:rPr>
        <w:t>Section 7.1</w:t>
      </w:r>
      <w:r>
        <w:rPr>
          <w:rFonts w:ascii="Arial;sans-serif" w:hAnsi="Arial;sans-serif"/>
          <w:b w:val="false"/>
          <w:color w:val="000000"/>
          <w:sz w:val="20"/>
        </w:rPr>
        <w:t xml:space="preserve">. </w:t>
      </w:r>
    </w:p>
    <w:p>
      <w:pPr>
        <w:pStyle w:val="TextBody"/>
        <w:bidi w:val="0"/>
        <w:spacing w:lineRule="auto" w:line="288" w:before="140" w:after="283"/>
        <w:jc w:val="left"/>
        <w:rPr/>
      </w:pPr>
      <w:r>
        <w:rPr>
          <w:rFonts w:ascii="Arial;sans-serif" w:hAnsi="Arial;sans-serif"/>
          <w:b w:val="false"/>
          <w:color w:val="000000"/>
          <w:sz w:val="20"/>
        </w:rPr>
        <w:t>(a)</w:t>
      </w:r>
      <w:r>
        <w:rPr>
          <w:rFonts w:ascii="Arial;sans-serif" w:hAnsi="Arial;sans-serif"/>
          <w:b w:val="false"/>
          <w:color w:val="000000"/>
          <w:sz w:val="20"/>
          <w:u w:val="single"/>
        </w:rPr>
        <w:t>Restricted Stock Unit</w:t>
      </w:r>
      <w:r>
        <w:rPr>
          <w:rFonts w:ascii="Arial;sans-serif" w:hAnsi="Arial;sans-serif"/>
          <w:b w:val="false"/>
          <w:color w:val="000000"/>
          <w:sz w:val="20"/>
        </w:rPr>
        <w:t xml:space="preserve">. Settlement of a Restricted Stock Unit upon expiration of the deferral or vesting period shall be made in Stock, cash, or a combination of the foregoing, as determined by the Committee. </w:t>
      </w:r>
    </w:p>
    <w:p>
      <w:pPr>
        <w:pStyle w:val="TextBody"/>
        <w:bidi w:val="0"/>
        <w:spacing w:lineRule="auto" w:line="288" w:before="140" w:after="283"/>
        <w:jc w:val="left"/>
        <w:rPr/>
      </w:pPr>
      <w:r>
        <w:rPr>
          <w:rFonts w:ascii="Arial;sans-serif" w:hAnsi="Arial;sans-serif"/>
          <w:b w:val="false"/>
          <w:color w:val="000000"/>
          <w:sz w:val="20"/>
        </w:rPr>
        <w:t>(b)</w:t>
      </w:r>
      <w:r>
        <w:rPr>
          <w:rFonts w:ascii="Arial;sans-serif" w:hAnsi="Arial;sans-serif"/>
          <w:b w:val="false"/>
          <w:color w:val="000000"/>
          <w:sz w:val="20"/>
          <w:u w:val="single"/>
        </w:rPr>
        <w:t>Performance Shares, Performance Goals and Awards Generally</w:t>
      </w:r>
      <w:r>
        <w:rPr>
          <w:rFonts w:ascii="Arial;sans-serif" w:hAnsi="Arial;sans-serif"/>
          <w:b w:val="false"/>
          <w:color w:val="000000"/>
          <w:sz w:val="20"/>
        </w:rPr>
        <w:t xml:space="preserve">. Each grant of Performance Shares shall be (and each grant of any other Award may be) subject to the satisfaction of one or more of the performance goals established by the Committee with respect to the performance period established by the Committee. After the applicable performance period has ended, the Committee shall determine if all or any portion of the Performance Share Award (or such other Award, if applicable) is earned by a Participant. The earned portion of a Performance Share Award may be paid out in shares of Stock or cash, or a combination of the foregoing, as the Committee may determine. </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Committee may, in its sole discretion, establish and define any performance measures underlying a performance goal with respect to an Award. Each performance goal may be described in terms of Company-wide objectives or objectives that are related to the performance of the individual Participant or of one or more of the Subsidiaries, divisions, departments, regions, functions or other organizational units within the Company or its Subsidiaries. Each performance goal may be based upon growth in a metric, may be made relative to the performance of other companies or subsidiaries, divisions, departments, regions, functions or other organizational units within such other companies, may be made relative to an index or one or more of the performance goals themselves, may be based on or otherwise employ comparisons based on internal targets or the past performance of the Company and may use or employ comparisons relating to capital, stockholders’ equity and/or shares outstanding, investments or assets or net assets. The performance goals for such Awards may include but are not limited to one or more of the following measures: cash flow; free cash flow; operating cash flow; earnings; market share; economic value added; achievement of annual operating budget; profits; profit contribution margins; profits before taxes; profits after taxes; operating profit; return on assets; return on investment; return on equity; return on invested capital; gross sales; net sales; sales volume; stock price; total stockholder return; dividend ratio; price-to-earnings ratio; expense targets; operating efficiency; customer satisfaction metrics; working capital targets; the achievement of certain target levels of innovation and/or development of products; measures related to safety or quality; measures related to acquisitions or divestitures or the formation or dissolution of joint ventures; corporate bond rating by credit agencies; or debt to equity or leverage ratios. If the Committee determines that a change in the business, operations, corporate structure or capital structure of the Company, or the manner in which it conducts its business, or other events or circumstances render the performance goals unsuitable, the Committee may in its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- 9 -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- 9 -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discretion modify such performance goals or the acceptable levels of achievement, in whole or in part, as the Committee deems appropriate and equitable.</w:t>
      </w:r>
    </w:p>
    <w:p>
      <w:pPr>
        <w:pStyle w:val="TextBody"/>
        <w:bidi w:val="0"/>
        <w:spacing w:lineRule="auto" w:line="288" w:before="140" w:after="283"/>
        <w:jc w:val="center"/>
        <w:rPr/>
      </w:pPr>
      <w:r>
        <w:rPr>
          <w:rFonts w:ascii="Arial;sans-serif" w:hAnsi="Arial;sans-serif"/>
          <w:b/>
          <w:color w:val="000000"/>
          <w:sz w:val="20"/>
        </w:rPr>
        <w:t>SECTION 10.</w:t>
      </w:r>
      <w:r>
        <w:rPr>
          <w:rFonts w:ascii="Arial;sans-serif" w:hAnsi="Arial;sans-serif"/>
          <w:b/>
          <w:color w:val="000000"/>
          <w:sz w:val="20"/>
        </w:rPr>
        <w:t xml:space="preserve">CASH INCENTIVE AWARDS </w:t>
      </w:r>
    </w:p>
    <w:p>
      <w:pPr>
        <w:pStyle w:val="TextBody"/>
        <w:bidi w:val="0"/>
        <w:spacing w:lineRule="auto" w:line="288" w:before="140" w:after="283"/>
        <w:ind w:left="0" w:right="0" w:firstLine="720"/>
        <w:jc w:val="left"/>
        <w:rPr/>
      </w:pPr>
      <w:r>
        <w:rPr>
          <w:rFonts w:ascii="Arial;sans-serif" w:hAnsi="Arial;sans-serif"/>
          <w:b w:val="false"/>
          <w:color w:val="000000"/>
          <w:sz w:val="20"/>
        </w:rPr>
        <w:t>10.1</w:t>
      </w:r>
      <w:r>
        <w:rPr>
          <w:rFonts w:ascii="Arial;sans-serif" w:hAnsi="Arial;sans-serif"/>
          <w:b w:val="false"/>
          <w:color w:val="000000"/>
          <w:sz w:val="20"/>
          <w:u w:val="single"/>
        </w:rPr>
        <w:t>General</w:t>
      </w:r>
      <w:r>
        <w:rPr>
          <w:rFonts w:ascii="Arial;sans-serif" w:hAnsi="Arial;sans-serif"/>
          <w:b w:val="false"/>
          <w:color w:val="000000"/>
          <w:sz w:val="20"/>
        </w:rPr>
        <w:t xml:space="preserve">. The Committee may, from time to time and upon such terms and conditions as it may determine, authorize the granting of Cash Incentive Awards. Each grant of a Cash Incentive Award will specify one or more performance goals that, if achieved, will result in payment or partial payment of the Award. Each grant of a Cash Incentive Award shall be evidenced by an Agreement that shall specify the terms and conditions of the Award not inconsistent with the Plan as the Committee shall determine. </w:t>
      </w:r>
    </w:p>
    <w:p>
      <w:pPr>
        <w:pStyle w:val="TextBody"/>
        <w:bidi w:val="0"/>
        <w:spacing w:lineRule="auto" w:line="288" w:before="140" w:after="283"/>
        <w:ind w:left="0" w:right="0" w:firstLine="720"/>
        <w:jc w:val="left"/>
        <w:rPr/>
      </w:pPr>
      <w:r>
        <w:rPr>
          <w:rFonts w:ascii="Arial;sans-serif" w:hAnsi="Arial;sans-serif"/>
          <w:b w:val="false"/>
          <w:color w:val="000000"/>
          <w:sz w:val="20"/>
        </w:rPr>
        <w:t>10.2</w:t>
      </w:r>
      <w:r>
        <w:rPr>
          <w:rFonts w:ascii="Arial;sans-serif" w:hAnsi="Arial;sans-serif"/>
          <w:b w:val="false"/>
          <w:color w:val="000000"/>
          <w:sz w:val="20"/>
          <w:u w:val="single"/>
        </w:rPr>
        <w:t>Certain Changes to Cash Incentive Awards</w:t>
      </w:r>
      <w:r>
        <w:rPr>
          <w:rFonts w:ascii="Arial;sans-serif" w:hAnsi="Arial;sans-serif"/>
          <w:b w:val="false"/>
          <w:color w:val="000000"/>
          <w:sz w:val="20"/>
        </w:rPr>
        <w:t xml:space="preserve">. Each grant will specify the amount payable with respect to a Cash Incentive Award to which it pertains, which amount may be subject to adjustment to reflect changes in compensation or other factors. </w:t>
      </w:r>
    </w:p>
    <w:p>
      <w:pPr>
        <w:pStyle w:val="TextBody"/>
        <w:bidi w:val="0"/>
        <w:spacing w:lineRule="auto" w:line="288" w:before="140" w:after="283"/>
        <w:jc w:val="center"/>
        <w:rPr/>
      </w:pPr>
      <w:r>
        <w:rPr>
          <w:rFonts w:ascii="Arial;sans-serif" w:hAnsi="Arial;sans-serif"/>
          <w:b/>
          <w:color w:val="000000"/>
          <w:sz w:val="20"/>
        </w:rPr>
        <w:t>SECTION 11.</w:t>
      </w:r>
      <w:r>
        <w:rPr>
          <w:rFonts w:ascii="Arial;sans-serif" w:hAnsi="Arial;sans-serif"/>
          <w:b/>
          <w:color w:val="000000"/>
          <w:sz w:val="20"/>
        </w:rPr>
        <w:t xml:space="preserve">AMENDMENT, MODIFICATION, AND TERMINATION OF PLAN </w:t>
      </w:r>
    </w:p>
    <w:p>
      <w:pPr>
        <w:pStyle w:val="TextBody"/>
        <w:bidi w:val="0"/>
        <w:spacing w:lineRule="auto" w:line="288" w:before="140" w:after="283"/>
        <w:ind w:left="0" w:right="0" w:firstLine="720"/>
        <w:jc w:val="left"/>
        <w:rPr/>
      </w:pPr>
      <w:r>
        <w:rPr>
          <w:rFonts w:ascii="Arial;sans-serif" w:hAnsi="Arial;sans-serif"/>
          <w:b w:val="false"/>
          <w:color w:val="000000"/>
          <w:sz w:val="20"/>
        </w:rPr>
        <w:t>11.1</w:t>
      </w:r>
      <w:r>
        <w:rPr>
          <w:rFonts w:ascii="Arial;sans-serif" w:hAnsi="Arial;sans-serif"/>
          <w:b w:val="false"/>
          <w:color w:val="000000"/>
          <w:sz w:val="20"/>
          <w:u w:val="single"/>
        </w:rPr>
        <w:t>General</w:t>
      </w:r>
      <w:r>
        <w:rPr>
          <w:rFonts w:ascii="Arial;sans-serif" w:hAnsi="Arial;sans-serif"/>
          <w:b w:val="false"/>
          <w:color w:val="000000"/>
          <w:sz w:val="20"/>
        </w:rPr>
        <w:t xml:space="preserve">. The Board may from time to time amend, modify or terminate any or all of the provisions of the Plan, subject to the provisions of this </w:t>
      </w:r>
      <w:r>
        <w:rPr>
          <w:rFonts w:ascii="Arial;sans-serif" w:hAnsi="Arial;sans-serif"/>
          <w:b/>
          <w:color w:val="000000"/>
          <w:sz w:val="20"/>
          <w:u w:val="single"/>
        </w:rPr>
        <w:t>Section 11.1</w:t>
      </w:r>
      <w:r>
        <w:rPr>
          <w:rFonts w:ascii="Arial;sans-serif" w:hAnsi="Arial;sans-serif"/>
          <w:b w:val="false"/>
          <w:color w:val="000000"/>
          <w:sz w:val="20"/>
        </w:rPr>
        <w:t xml:space="preserve">. No amendment or termination shall be adopted or effective if it would result in accelerated recognition of income or imposition of additional tax under Code Section 409A or, except as otherwise provided in the amendment, would cause amounts that were not otherwise subject to Code Section 409A to become subject to Code Section 409A. Furthermore, the Board may not make any amendment which would materially (a) modify the requirements for participation in the Plan, (b) increase the number of shares of Stock subject to Awards under the Plan pursuant to </w:t>
      </w:r>
      <w:r>
        <w:rPr>
          <w:rFonts w:ascii="Arial;sans-serif" w:hAnsi="Arial;sans-serif"/>
          <w:b/>
          <w:color w:val="000000"/>
          <w:sz w:val="20"/>
          <w:u w:val="single"/>
        </w:rPr>
        <w:t>Section 5.1</w:t>
      </w:r>
      <w:r>
        <w:rPr>
          <w:rFonts w:ascii="Arial;sans-serif" w:hAnsi="Arial;sans-serif"/>
          <w:b w:val="false"/>
          <w:color w:val="000000"/>
          <w:sz w:val="20"/>
        </w:rPr>
        <w:t xml:space="preserve">, (c) change the minimum exercise price for stock options or SARs as provided in </w:t>
      </w:r>
      <w:r>
        <w:rPr>
          <w:rFonts w:ascii="Arial;sans-serif" w:hAnsi="Arial;sans-serif"/>
          <w:b/>
          <w:color w:val="000000"/>
          <w:sz w:val="20"/>
          <w:u w:val="single"/>
        </w:rPr>
        <w:t>Section 6.2</w:t>
      </w:r>
      <w:r>
        <w:rPr>
          <w:color w:val="000000"/>
        </w:rPr>
        <w:t xml:space="preserve"> </w:t>
      </w:r>
      <w:r>
        <w:rPr>
          <w:rFonts w:ascii="Arial;sans-serif" w:hAnsi="Arial;sans-serif"/>
          <w:b/>
          <w:color w:val="000000"/>
          <w:sz w:val="20"/>
        </w:rPr>
        <w:t xml:space="preserve">and </w:t>
      </w:r>
      <w:r>
        <w:rPr>
          <w:rFonts w:ascii="Arial;sans-serif" w:hAnsi="Arial;sans-serif"/>
          <w:b/>
          <w:color w:val="000000"/>
          <w:sz w:val="20"/>
          <w:u w:val="single"/>
        </w:rPr>
        <w:t>Section 8.3</w:t>
      </w:r>
      <w:r>
        <w:rPr>
          <w:rFonts w:ascii="Arial;sans-serif" w:hAnsi="Arial;sans-serif"/>
          <w:b w:val="false"/>
          <w:color w:val="000000"/>
          <w:sz w:val="20"/>
        </w:rPr>
        <w:t xml:space="preserve">, or (d) extend the term of the Plan, in each case without applicable stockholder approval. Except as specifically provided in the Plan or except to the minimum extent necessary to comply with applicable law, no amendment or modification of the Plan shall materially and adversely affect the rights of any Participant with respect to a previously granted Award without the written consent of the Participant. </w:t>
      </w:r>
    </w:p>
    <w:p>
      <w:pPr>
        <w:pStyle w:val="TextBody"/>
        <w:bidi w:val="0"/>
        <w:spacing w:lineRule="auto" w:line="288" w:before="140" w:after="283"/>
        <w:ind w:left="0" w:right="0" w:firstLine="720"/>
        <w:jc w:val="left"/>
        <w:rPr/>
      </w:pPr>
      <w:r>
        <w:rPr>
          <w:rFonts w:ascii="Arial;sans-serif" w:hAnsi="Arial;sans-serif"/>
          <w:b w:val="false"/>
          <w:color w:val="000000"/>
          <w:sz w:val="20"/>
        </w:rPr>
        <w:t>11.2</w:t>
      </w:r>
      <w:r>
        <w:rPr>
          <w:rFonts w:ascii="Arial;sans-serif" w:hAnsi="Arial;sans-serif"/>
          <w:b w:val="false"/>
          <w:color w:val="000000"/>
          <w:sz w:val="20"/>
        </w:rPr>
        <w:t xml:space="preserve">Amendment of Agreement. </w:t>
      </w:r>
    </w:p>
    <w:p>
      <w:pPr>
        <w:pStyle w:val="TextBody"/>
        <w:bidi w:val="0"/>
        <w:spacing w:lineRule="auto" w:line="288" w:before="140" w:after="283"/>
        <w:jc w:val="left"/>
        <w:rPr/>
      </w:pPr>
      <w:r>
        <w:rPr>
          <w:rFonts w:ascii="Arial;sans-serif" w:hAnsi="Arial;sans-serif"/>
          <w:b w:val="false"/>
          <w:color w:val="000000"/>
          <w:sz w:val="20"/>
        </w:rPr>
        <w:t xml:space="preserve">(a)If permitted by Code Section 409A, the Committee may, at any time, amend the terms of outstanding Awards in a manner not inconsistent with the terms of the Plan;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except as provided in </w:t>
      </w:r>
      <w:r>
        <w:rPr>
          <w:rFonts w:ascii="Arial;sans-serif" w:hAnsi="Arial;sans-serif"/>
          <w:b/>
          <w:color w:val="000000"/>
          <w:sz w:val="20"/>
          <w:u w:val="single"/>
        </w:rPr>
        <w:t>Section 12.5</w:t>
      </w:r>
      <w:r>
        <w:rPr>
          <w:color w:val="000000"/>
        </w:rPr>
        <w:t xml:space="preserve"> </w:t>
      </w:r>
      <w:r>
        <w:rPr>
          <w:rFonts w:ascii="Arial;sans-serif" w:hAnsi="Arial;sans-serif"/>
          <w:b/>
          <w:color w:val="000000"/>
          <w:sz w:val="20"/>
        </w:rPr>
        <w:t xml:space="preserve">or </w:t>
      </w:r>
      <w:r>
        <w:rPr>
          <w:rFonts w:ascii="Arial;sans-serif" w:hAnsi="Arial;sans-serif"/>
          <w:b/>
          <w:color w:val="000000"/>
          <w:sz w:val="20"/>
          <w:u w:val="single"/>
        </w:rPr>
        <w:t>Section 5.5</w:t>
      </w:r>
      <w:r>
        <w:rPr>
          <w:rFonts w:ascii="Arial;sans-serif" w:hAnsi="Arial;sans-serif"/>
          <w:b w:val="false"/>
          <w:color w:val="000000"/>
          <w:sz w:val="20"/>
        </w:rPr>
        <w:t xml:space="preserve">, or except to the minimum extent necessary to comply with applicable law, if such amendment is materially adverse to the Participant, as determined by the Committee, the amendment shall not be effective unless and until the Participant consents, in writing, to such amendment. To the extent not inconsistent with the terms of the Plan, the Committee may, at any time, amend the terms of an outstanding Award in a manner that is not unfavorable to the Participant without the consent of such Participant. </w:t>
      </w:r>
    </w:p>
    <w:p>
      <w:pPr>
        <w:pStyle w:val="TextBody"/>
        <w:bidi w:val="0"/>
        <w:spacing w:lineRule="auto" w:line="288" w:before="140" w:after="283"/>
        <w:jc w:val="left"/>
        <w:rPr/>
      </w:pPr>
      <w:r>
        <w:rPr>
          <w:rFonts w:ascii="Arial;sans-serif" w:hAnsi="Arial;sans-serif"/>
          <w:b w:val="false"/>
          <w:color w:val="000000"/>
          <w:sz w:val="20"/>
        </w:rPr>
        <w:t xml:space="preserve">(b)Except for adjustments as provided in </w:t>
      </w:r>
      <w:r>
        <w:rPr>
          <w:rFonts w:ascii="Arial;sans-serif" w:hAnsi="Arial;sans-serif"/>
          <w:b/>
          <w:color w:val="000000"/>
          <w:sz w:val="20"/>
          <w:u w:val="single"/>
        </w:rPr>
        <w:t>Section 5.5</w:t>
      </w:r>
      <w:r>
        <w:rPr>
          <w:rFonts w:ascii="Arial;sans-serif" w:hAnsi="Arial;sans-serif"/>
          <w:b w:val="false"/>
          <w:color w:val="000000"/>
          <w:sz w:val="20"/>
        </w:rPr>
        <w:t xml:space="preserve">,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approval of the Company’s stockholders. The immediately preceding sentence is intended to prohibit the repricing of “underwater” Options and SARs and will not be construed to prohibit the adjustments provided for in </w:t>
      </w:r>
      <w:r>
        <w:rPr>
          <w:rFonts w:ascii="Arial;sans-serif" w:hAnsi="Arial;sans-serif"/>
          <w:b/>
          <w:color w:val="000000"/>
          <w:sz w:val="20"/>
          <w:u w:val="single"/>
        </w:rPr>
        <w:t>Section 5.5</w:t>
      </w:r>
      <w:r>
        <w:rPr>
          <w:rFonts w:ascii="Arial;sans-serif" w:hAnsi="Arial;sans-serif"/>
          <w:b w:val="false"/>
          <w:color w:val="000000"/>
          <w:sz w:val="20"/>
        </w:rPr>
        <w:t xml:space="preserve">. </w:t>
      </w:r>
    </w:p>
    <w:p>
      <w:pPr>
        <w:pStyle w:val="TextBody"/>
        <w:bidi w:val="0"/>
        <w:spacing w:lineRule="auto" w:line="288" w:before="140" w:after="283"/>
        <w:ind w:left="0" w:right="0" w:firstLine="720"/>
        <w:jc w:val="left"/>
        <w:rPr/>
      </w:pPr>
      <w:r>
        <w:rPr>
          <w:rFonts w:ascii="Arial;sans-serif" w:hAnsi="Arial;sans-serif"/>
          <w:b w:val="false"/>
          <w:color w:val="000000"/>
          <w:sz w:val="20"/>
        </w:rPr>
        <w:t>11.3</w:t>
      </w:r>
      <w:r>
        <w:rPr>
          <w:rFonts w:ascii="Arial;sans-serif" w:hAnsi="Arial;sans-serif"/>
          <w:b w:val="false"/>
          <w:color w:val="000000"/>
          <w:sz w:val="20"/>
          <w:u w:val="single"/>
        </w:rPr>
        <w:t>Detrimental Activity and Recapture Provisions</w:t>
      </w:r>
      <w:r>
        <w:rPr>
          <w:rFonts w:ascii="Arial;sans-serif" w:hAnsi="Arial;sans-serif"/>
          <w:b w:val="false"/>
          <w:i/>
          <w:color w:val="000000"/>
          <w:sz w:val="20"/>
        </w:rPr>
        <w:t>. </w:t>
      </w:r>
      <w:r>
        <w:rPr>
          <w:rFonts w:ascii="Arial;sans-serif" w:hAnsi="Arial;sans-serif"/>
          <w:b w:val="false"/>
          <w:color w:val="000000"/>
          <w:sz w:val="20"/>
        </w:rPr>
        <w:t xml:space="preserve">All Awards shall be subject to the Committee’s right to cancel such Awards and/or to impose forfeitures to the extent required under Section 304 of the Sarbanes-Oxley Act of 2002. Subject to other or different terms and conditions as may be specified in an Agreement, if the Committee determines that a present or former Employee or Eligible Director has (a) used for profit or disclosed to unauthorized persons, confidential information or trade secrets of the Company, (b) breached any contract with or violated any fiduciary obligation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60705"/>
                <wp:effectExtent l="0" t="0" r="0" b="0"/>
                <wp:wrapNone/>
                <wp:docPr id="17"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- 10 -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- 10 -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Company, or (c) engaged in any conduct that the Committee determines is injurious to the Company, the Committee may cause that Employee or Eligible Director to forfeit his or her outstanding Awards under the Plan. Any Agreement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(in each case, the “Clawback Policy”),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the Plan, the Participants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the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Code Section 409A.</w:t>
      </w:r>
    </w:p>
    <w:p>
      <w:pPr>
        <w:pStyle w:val="TextBody"/>
        <w:bidi w:val="0"/>
        <w:spacing w:lineRule="auto" w:line="288" w:before="140" w:after="283"/>
        <w:jc w:val="center"/>
        <w:rPr/>
      </w:pPr>
      <w:r>
        <w:rPr>
          <w:rFonts w:ascii="Arial;sans-serif" w:hAnsi="Arial;sans-serif"/>
          <w:b/>
          <w:color w:val="000000"/>
          <w:sz w:val="20"/>
        </w:rPr>
        <w:t>SECTION 12.</w:t>
      </w:r>
      <w:r>
        <w:rPr>
          <w:rFonts w:ascii="Arial;sans-serif" w:hAnsi="Arial;sans-serif"/>
          <w:b/>
          <w:color w:val="000000"/>
          <w:sz w:val="20"/>
        </w:rPr>
        <w:t xml:space="preserve">MISCELLANEOUS PROVISIONS </w:t>
      </w:r>
    </w:p>
    <w:p>
      <w:pPr>
        <w:pStyle w:val="TextBody"/>
        <w:bidi w:val="0"/>
        <w:spacing w:lineRule="auto" w:line="288" w:before="140" w:after="283"/>
        <w:ind w:left="0" w:right="0" w:firstLine="720"/>
        <w:jc w:val="left"/>
        <w:rPr/>
      </w:pPr>
      <w:r>
        <w:rPr>
          <w:rFonts w:ascii="Arial;sans-serif" w:hAnsi="Arial;sans-serif"/>
          <w:b w:val="false"/>
          <w:color w:val="000000"/>
          <w:sz w:val="20"/>
        </w:rPr>
        <w:t>12.1</w:t>
      </w:r>
      <w:r>
        <w:rPr>
          <w:rFonts w:ascii="Arial;sans-serif" w:hAnsi="Arial;sans-serif"/>
          <w:b w:val="false"/>
          <w:color w:val="000000"/>
          <w:sz w:val="20"/>
          <w:u w:val="single"/>
        </w:rPr>
        <w:t>Nontransferability of Awards</w:t>
      </w:r>
      <w:r>
        <w:rPr>
          <w:rFonts w:ascii="Arial;sans-serif" w:hAnsi="Arial;sans-serif"/>
          <w:b w:val="false"/>
          <w:color w:val="000000"/>
          <w:sz w:val="20"/>
        </w:rPr>
        <w:t xml:space="preserve">. Except as otherwise provided by the Committee, no Awards granted under the Plan may be sold, transferred, pledged, assigned, or otherwise alienated or hypothecated, other than by will or by the laws of descent and distribution. In no event will any Award granted under the Plan be transferred for value. </w:t>
      </w:r>
    </w:p>
    <w:p>
      <w:pPr>
        <w:pStyle w:val="TextBody"/>
        <w:bidi w:val="0"/>
        <w:spacing w:lineRule="auto" w:line="288" w:before="140" w:after="283"/>
        <w:ind w:left="0" w:right="0" w:firstLine="720"/>
        <w:jc w:val="left"/>
        <w:rPr/>
      </w:pPr>
      <w:r>
        <w:rPr>
          <w:rFonts w:ascii="Arial;sans-serif" w:hAnsi="Arial;sans-serif"/>
          <w:b w:val="false"/>
          <w:color w:val="000000"/>
          <w:sz w:val="20"/>
        </w:rPr>
        <w:t>12.2</w:t>
      </w:r>
      <w:r>
        <w:rPr>
          <w:rFonts w:ascii="Arial;sans-serif" w:hAnsi="Arial;sans-serif"/>
          <w:b w:val="false"/>
          <w:color w:val="000000"/>
          <w:sz w:val="20"/>
          <w:u w:val="single"/>
        </w:rPr>
        <w:t>Beneficiary Designation</w:t>
      </w:r>
      <w:r>
        <w:rPr>
          <w:rFonts w:ascii="Arial;sans-serif" w:hAnsi="Arial;sans-serif"/>
          <w:b w:val="false"/>
          <w:color w:val="000000"/>
          <w:sz w:val="20"/>
        </w:rPr>
        <w:t xml:space="preserve">. Each Participant under the Plan may from time to time name any beneficiary or beneficiaries (who may be named contingent or successively) to whom any benefit under the Plan is to be paid or by whom any right under the Plan is to be exercised in case of his or her death. Each designation will revoke all prior designations by the same Participant and will be effective only when filed in writing with the Company during the Participant’s lifetime. In the absence of any such designation, Awards outstanding at death may be exercised by the Participant’s surviving spouse, if any, or otherwise by the Participant’s estate. </w:t>
      </w:r>
    </w:p>
    <w:p>
      <w:pPr>
        <w:pStyle w:val="TextBody"/>
        <w:bidi w:val="0"/>
        <w:spacing w:lineRule="auto" w:line="288" w:before="140" w:after="283"/>
        <w:ind w:left="0" w:right="0" w:firstLine="720"/>
        <w:jc w:val="left"/>
        <w:rPr/>
      </w:pPr>
      <w:r>
        <w:rPr>
          <w:rFonts w:ascii="Arial;sans-serif" w:hAnsi="Arial;sans-serif"/>
          <w:b w:val="false"/>
          <w:color w:val="000000"/>
          <w:sz w:val="20"/>
        </w:rPr>
        <w:t>12.3</w:t>
      </w:r>
      <w:r>
        <w:rPr>
          <w:rFonts w:ascii="Arial;sans-serif" w:hAnsi="Arial;sans-serif"/>
          <w:b w:val="false"/>
          <w:color w:val="000000"/>
          <w:sz w:val="20"/>
          <w:u w:val="single"/>
        </w:rPr>
        <w:t>No Guarantee of Employment or Participation</w:t>
      </w:r>
      <w:r>
        <w:rPr>
          <w:rFonts w:ascii="Arial;sans-serif" w:hAnsi="Arial;sans-serif"/>
          <w:b w:val="false"/>
          <w:color w:val="000000"/>
          <w:sz w:val="20"/>
        </w:rPr>
        <w:t xml:space="preserve">. Nothing in the Plan shall interfere with or limit in any way the right of the Company to terminate any Participant’s employment at any time, nor confer upon any Participant any right to continue in the employ of the Company. No individual shall have a right to be selected as a Participant, or, having been so selected, to receive any future Awards. </w:t>
      </w:r>
    </w:p>
    <w:p>
      <w:pPr>
        <w:pStyle w:val="TextBody"/>
        <w:bidi w:val="0"/>
        <w:spacing w:lineRule="auto" w:line="288" w:before="140" w:after="283"/>
        <w:ind w:left="0" w:right="0" w:firstLine="720"/>
        <w:jc w:val="left"/>
        <w:rPr/>
      </w:pPr>
      <w:r>
        <w:rPr>
          <w:rFonts w:ascii="Arial;sans-serif" w:hAnsi="Arial;sans-serif"/>
          <w:b w:val="false"/>
          <w:color w:val="000000"/>
          <w:sz w:val="20"/>
        </w:rPr>
        <w:t>12.4</w:t>
      </w:r>
      <w:r>
        <w:rPr>
          <w:rFonts w:ascii="Arial;sans-serif" w:hAnsi="Arial;sans-serif"/>
          <w:b w:val="false"/>
          <w:color w:val="000000"/>
          <w:sz w:val="20"/>
          <w:u w:val="single"/>
        </w:rPr>
        <w:t>Tax Withholding</w:t>
      </w:r>
      <w:r>
        <w:rPr>
          <w:rFonts w:ascii="Arial;sans-serif" w:hAnsi="Arial;sans-serif"/>
          <w:b w:val="false"/>
          <w:color w:val="000000"/>
          <w:sz w:val="20"/>
        </w:rPr>
        <w:t xml:space="preserve">. The Company shall have the power to withhold, or require a Participant to remit to the Company, an amount sufficient to satisfy all withholding tax requirements on any Award under the Plan, and the Company may defer issuance of Stock until such requirements are satisfied. Unless not permitted by the Committee at the time of the grant of an Award or thereafter, a Participant may elect, subject to Committee approval and such conditions as the Committee shall impose, including conditions and restrictions intended to comply with securities laws and any Company policies regarding trading in securities, to satisfy any tax withholding requirements (a) by having shares of Stock otherwise issuable under the Plan withheld by the Company or by delivering to the Company previously acquired shares of Stock, in each case having a Fair Market Value sufficient to satisfy all or part of the Participant’s applicable withholding tax obligation associated with the transaction, or (b) by remitting cash or a check. Unless not permitted by the Committee at the time of grant of an Award or thereafter, and subject to any rules established by the Company, the Participant shall be able to satisfy additional tax withholding above the statutory minimum applicable withholding amounts by delivering to the Company previously acquired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60705"/>
                <wp:effectExtent l="0" t="0" r="0" b="0"/>
                <wp:wrapNone/>
                <wp:docPr id="18"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- 11 -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- 11 -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r>
        <w:rPr>
          <w:rFonts w:ascii="Arial;sans-serif" w:hAnsi="Arial;sans-serif"/>
          <w:b w:val="false"/>
          <w:color w:val="000000"/>
          <w:sz w:val="20"/>
        </w:rPr>
        <w:t xml:space="preserve">shares of Stock or by having shares of Stock otherwise issuable under the Plan withheld by the Company, in each case with a Fair Market Value equal to the additional withholding amounts;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Participant shall not be entitled to deliver such additional shares if it would cause adverse accounting or tax consequences for the Company. </w:t>
      </w:r>
    </w:p>
    <w:p>
      <w:pPr>
        <w:pStyle w:val="TextBody"/>
        <w:bidi w:val="0"/>
        <w:spacing w:lineRule="auto" w:line="288" w:before="140" w:after="283"/>
        <w:ind w:left="0" w:right="0" w:firstLine="720"/>
        <w:jc w:val="left"/>
        <w:rPr/>
      </w:pPr>
      <w:r>
        <w:rPr>
          <w:rFonts w:ascii="Arial;sans-serif" w:hAnsi="Arial;sans-serif"/>
          <w:b w:val="false"/>
          <w:color w:val="000000"/>
          <w:sz w:val="20"/>
        </w:rPr>
        <w:t>12.5</w:t>
      </w:r>
      <w:r>
        <w:rPr>
          <w:rFonts w:ascii="Arial;sans-serif" w:hAnsi="Arial;sans-serif"/>
          <w:b w:val="false"/>
          <w:color w:val="000000"/>
          <w:sz w:val="20"/>
          <w:u w:val="single"/>
        </w:rPr>
        <w:t>Change of Control</w:t>
      </w:r>
      <w:r>
        <w:rPr>
          <w:rFonts w:ascii="Arial;sans-serif" w:hAnsi="Arial;sans-serif"/>
          <w:b w:val="false"/>
          <w:color w:val="000000"/>
          <w:sz w:val="20"/>
        </w:rPr>
        <w:t xml:space="preserve">.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(a)For purposes of the Plan, except as may be otherwise prescribed by the Committee in an Agreement, a “Change of Control” will be deemed to have occurred upon the occurrence of any of the following events: </w:t>
      </w:r>
    </w:p>
    <w:p>
      <w:pPr>
        <w:pStyle w:val="TextBody"/>
        <w:bidi w:val="0"/>
        <w:spacing w:lineRule="auto" w:line="288" w:before="140" w:after="283"/>
        <w:jc w:val="left"/>
        <w:rPr/>
      </w:pPr>
      <w:r>
        <w:rPr>
          <w:rFonts w:ascii="Arial;sans-serif" w:hAnsi="Arial;sans-serif"/>
          <w:b w:val="false"/>
          <w:color w:val="000000"/>
          <w:sz w:val="20"/>
        </w:rPr>
        <w:t xml:space="preserve">(i)Individuals who, as of the Effective Date, constitute the Board (the </w:t>
      </w:r>
      <w:r>
        <w:rPr>
          <w:color w:val="000000"/>
        </w:rPr>
        <w:t>“</w:t>
      </w:r>
      <w:r>
        <w:rPr>
          <w:rFonts w:ascii="Arial;sans-serif" w:hAnsi="Arial;sans-serif"/>
          <w:b/>
          <w:i/>
          <w:color w:val="000000"/>
          <w:sz w:val="20"/>
        </w:rPr>
        <w:t>Incumbent Board</w:t>
      </w:r>
      <w:r>
        <w:rPr>
          <w:color w:val="000000"/>
        </w:rPr>
        <w:t>”</w:t>
      </w:r>
      <w:r>
        <w:rPr>
          <w:rFonts w:ascii="Arial;sans-serif" w:hAnsi="Arial;sans-serif"/>
          <w:b w:val="false"/>
          <w:color w:val="000000"/>
          <w:sz w:val="20"/>
        </w:rPr>
        <w:t>) cease for any reason to constitute at least a majority of the Board; provided, however, that any person becoming a member of the Board subsequent to the Effective Date whose election, or nomination for the election by the Company’s stockholders, was approved by a vote of at least a majority of the Board members then comprising the Incumbent Board shall be, for purposes of this </w:t>
      </w:r>
      <w:r>
        <w:rPr>
          <w:rFonts w:ascii="Arial;sans-serif" w:hAnsi="Arial;sans-serif"/>
          <w:b/>
          <w:color w:val="000000"/>
          <w:sz w:val="20"/>
          <w:u w:val="single"/>
        </w:rPr>
        <w:t>Section 12.5(a)</w:t>
      </w:r>
      <w:r>
        <w:rPr>
          <w:rFonts w:ascii="Arial;sans-serif" w:hAnsi="Arial;sans-serif"/>
          <w:b w:val="false"/>
          <w:color w:val="000000"/>
          <w:sz w:val="20"/>
        </w:rPr>
        <w:t>, considered as though such person were a member of the Incumbent Board as of the Effective Date;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(ii)Consummation of a reorganization, merger or consolidation, in each case, with respect to which persons who were the stockholders of the Company immediately prior to such reorganization, merger or consolidation do not, immediately thereafter, own more than 50% of the Voting Power of the reorganized, merged or consolidated entity;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(iii)Any person becomes the beneficial owner, directly or indirectly, of securities of the Company (not including in the securities beneficially owned by such person, any securities acquired directly from the Company or its affiliates) representing 30% or more of the Voting Power of the Company’s then outstanding securities;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(iv)Stockholder approval of a liquidation or dissolution of the Company; or</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(v)The sale of all or substantially all of the assets of the Company.</w:t>
      </w:r>
    </w:p>
    <w:p>
      <w:pPr>
        <w:pStyle w:val="TextBody"/>
        <w:bidi w:val="0"/>
        <w:spacing w:lineRule="auto" w:line="288" w:before="140" w:after="283"/>
        <w:jc w:val="left"/>
        <w:rPr/>
      </w:pPr>
      <w:r>
        <w:rPr>
          <w:rFonts w:ascii="Arial;sans-serif" w:hAnsi="Arial;sans-serif"/>
          <w:b w:val="false"/>
          <w:color w:val="000000"/>
          <w:sz w:val="20"/>
        </w:rPr>
        <w:t xml:space="preserve">(b)Except as may be otherwise prescribed by the Committee in an Agreement, this </w:t>
      </w:r>
      <w:r>
        <w:rPr>
          <w:rFonts w:ascii="Arial;sans-serif" w:hAnsi="Arial;sans-serif"/>
          <w:b/>
          <w:color w:val="000000"/>
          <w:sz w:val="20"/>
          <w:u w:val="single"/>
        </w:rPr>
        <w:t>Section 12.5(b)</w:t>
      </w:r>
      <w:r>
        <w:rPr>
          <w:color w:val="000000"/>
        </w:rPr>
        <w:t xml:space="preserve"> </w:t>
      </w:r>
      <w:r>
        <w:rPr>
          <w:rFonts w:ascii="Arial;sans-serif" w:hAnsi="Arial;sans-serif"/>
          <w:b w:val="false"/>
          <w:color w:val="000000"/>
          <w:sz w:val="20"/>
        </w:rPr>
        <w:t xml:space="preserve">governs the treatment of Awards upon a Change of Control. </w:t>
      </w:r>
    </w:p>
    <w:p>
      <w:pPr>
        <w:pStyle w:val="TextBody"/>
        <w:bidi w:val="0"/>
        <w:spacing w:lineRule="auto" w:line="288" w:before="140" w:after="283"/>
        <w:jc w:val="left"/>
        <w:rPr/>
      </w:pPr>
      <w:r>
        <w:rPr>
          <w:rFonts w:ascii="Arial;sans-serif" w:hAnsi="Arial;sans-serif"/>
          <w:b w:val="false"/>
          <w:color w:val="000000"/>
          <w:sz w:val="20"/>
        </w:rPr>
        <w:t>(i)</w:t>
      </w:r>
      <w:r>
        <w:rPr>
          <w:rFonts w:ascii="Arial;sans-serif" w:hAnsi="Arial;sans-serif"/>
          <w:b w:val="false"/>
          <w:color w:val="000000"/>
          <w:sz w:val="20"/>
          <w:u w:val="single"/>
        </w:rPr>
        <w:t>Awards Assumed or Substituted by Surviving Entity</w:t>
      </w:r>
      <w:r>
        <w:rPr>
          <w:rFonts w:ascii="Arial;sans-serif" w:hAnsi="Arial;sans-serif"/>
          <w:b w:val="false"/>
          <w:color w:val="000000"/>
          <w:sz w:val="20"/>
        </w:rPr>
        <w:t xml:space="preserve">. With respect to Awards assumed by the surviving entity or otherwise equitably converted or substituted in connection with a Change of Control: if within two years after the effective date of the Change of Control, a Participant’s employment is terminated without Cause or the Participant resigns for “Good Reason,” then (i) all of that Participant’s outstanding Options or SARs shall become fully exercisable, (ii) all time-based vesting restrictions on the his or her outstanding Awards shall lapse, and (iii) the all performance-based Awards shall be deemed to have vested at the greater of (x) the target level of achievement of the applicable performance conditions or (y) the actual level of achievement of the applicable performance conditions as of the date of such termination without Cause or for Good Reason, if reasonably measurable. With regard to each Award, a Participant shall not be considered to have resigned for Good Reason unless either (i) the Agreement includes such provision or (ii) the Participant is party to an employment, severance or similar agreement with the Company or a Subsidiary that includes provisions in which the Participant is permitted to resign for Good Reason, and the definition in any such agreement shall apply. Any Options or SARs shall thereafter continue or lapse in accordance with the other provisions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60705"/>
                <wp:effectExtent l="0" t="0" r="0" b="0"/>
                <wp:wrapNone/>
                <wp:docPr id="19"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- 12 -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- 12 -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and the Agreement. To the extent that this provision causes Incentive Stock Options to exceed the dollar limitation set forth in Code Section 422(d), the excess Options shall be deemed to be Nonqualified Stock Options.</w:t>
      </w:r>
    </w:p>
    <w:p>
      <w:pPr>
        <w:pStyle w:val="TextBody"/>
        <w:bidi w:val="0"/>
        <w:spacing w:lineRule="auto" w:line="288" w:before="140" w:after="283"/>
        <w:jc w:val="left"/>
        <w:rPr/>
      </w:pPr>
      <w:r>
        <w:rPr>
          <w:rFonts w:ascii="Arial;sans-serif" w:hAnsi="Arial;sans-serif"/>
          <w:b w:val="false"/>
          <w:color w:val="000000"/>
          <w:sz w:val="20"/>
        </w:rPr>
        <w:t>(ii)</w:t>
      </w:r>
      <w:r>
        <w:rPr>
          <w:rFonts w:ascii="Arial;sans-serif" w:hAnsi="Arial;sans-serif"/>
          <w:b w:val="false"/>
          <w:color w:val="000000"/>
          <w:sz w:val="20"/>
          <w:u w:val="single"/>
        </w:rPr>
        <w:t>Awards not Assumed or Substituted by Surviving Entity</w:t>
      </w:r>
      <w:r>
        <w:rPr>
          <w:rFonts w:ascii="Arial;sans-serif" w:hAnsi="Arial;sans-serif"/>
          <w:b w:val="false"/>
          <w:color w:val="000000"/>
          <w:sz w:val="20"/>
        </w:rPr>
        <w:t>. Upon the occurrence of a Change of Control, and except with respect to any Awards assumed by the surviving entity or otherwise equitably converted or substituted in connection with the Change of Control in a manner approved by the Committee or the Board: (i) outstanding Options or SARs shall become fully exercisable, (ii) time-based vesting restrictions on outstanding Awards shall lapse, and (iii) all performance-based Awards shall be deemed to have vested at the greater of (x) the target level of achievement of the applicable performance conditions or (y) the actual level of achievement of the applicable performance conditions as of the date of such Change of Control, if reasonably measurable. Any Options or SARs shall thereafter continue or lapse in accordance with the other provisions of the Plan and the Agreement. To the extent that this provision causes Incentive Stock Options to exceed the dollar limitation set forth in Code Section 422(d), the excess Options shall be deemed to be Nonqualified Stock Options.</w:t>
      </w:r>
    </w:p>
    <w:p>
      <w:pPr>
        <w:pStyle w:val="TextBody"/>
        <w:bidi w:val="0"/>
        <w:spacing w:lineRule="auto" w:line="288" w:before="140" w:after="283"/>
        <w:ind w:left="0" w:right="0" w:firstLine="720"/>
        <w:jc w:val="left"/>
        <w:rPr/>
      </w:pPr>
      <w:r>
        <w:rPr>
          <w:rFonts w:ascii="Arial;sans-serif" w:hAnsi="Arial;sans-serif"/>
          <w:b w:val="false"/>
          <w:color w:val="000000"/>
          <w:sz w:val="20"/>
        </w:rPr>
        <w:t>12.6</w:t>
      </w:r>
      <w:r>
        <w:rPr>
          <w:rFonts w:ascii="Arial;sans-serif" w:hAnsi="Arial;sans-serif"/>
          <w:b w:val="false"/>
          <w:color w:val="000000"/>
          <w:sz w:val="20"/>
          <w:u w:val="single"/>
        </w:rPr>
        <w:t>Special Rule Related to Securities Trading Policy</w:t>
      </w:r>
      <w:r>
        <w:rPr>
          <w:rFonts w:ascii="Arial;sans-serif" w:hAnsi="Arial;sans-serif"/>
          <w:b w:val="false"/>
          <w:color w:val="000000"/>
          <w:sz w:val="20"/>
        </w:rPr>
        <w:t>. The Company has established (or may from time to time establish) a securities trading policy (the “</w:t>
      </w:r>
      <w:r>
        <w:rPr>
          <w:rFonts w:ascii="Arial;sans-serif" w:hAnsi="Arial;sans-serif"/>
          <w:b/>
          <w:i/>
          <w:color w:val="000000"/>
          <w:sz w:val="20"/>
        </w:rPr>
        <w:t>Policy</w:t>
      </w:r>
      <w:r>
        <w:rPr>
          <w:color w:val="000000"/>
        </w:rPr>
        <w:t>”</w:t>
      </w:r>
      <w:r>
        <w:rPr>
          <w:rFonts w:ascii="Arial;sans-serif" w:hAnsi="Arial;sans-serif"/>
          <w:b w:val="false"/>
          <w:color w:val="000000"/>
          <w:sz w:val="20"/>
        </w:rPr>
        <w:t xml:space="preserve">) relative to disclosure and trading on inside information as described in the Policy. Under the Policy, certain Employees and Eligible Directors are or may be prohibited from trading Stock or other securities of the Company except during certain “window periods” as described in the Policy. If, under the terms of an Agreement, the last day on which an Option or SAR can be exercised falls on a date that is not, in the opinion of counsel to the Company, within a window period permitted by the Policy, the applicable exercise period shall automatically be extended by this </w:t>
      </w:r>
      <w:r>
        <w:rPr>
          <w:rFonts w:ascii="Arial;sans-serif" w:hAnsi="Arial;sans-serif"/>
          <w:b/>
          <w:color w:val="000000"/>
          <w:sz w:val="20"/>
          <w:u w:val="single"/>
        </w:rPr>
        <w:t xml:space="preserve">Section 12.6 </w:t>
      </w:r>
      <w:r>
        <w:rPr>
          <w:rFonts w:ascii="Arial;sans-serif" w:hAnsi="Arial;sans-serif"/>
          <w:b w:val="false"/>
          <w:color w:val="000000"/>
          <w:sz w:val="20"/>
        </w:rPr>
        <w:t xml:space="preserve">until the second business day of, in the opinion of counsel to the Company, a window period under the Policy, but in no event beyond the expiration date of the applicable Option or SAR. The Committee shall interpret and apply the extension automatically provided by the preceding sentence to ensure when possible without extending the exercise period beyond the expiration date that in no event shall the term of any Option or SAR expire except during a window period. </w:t>
      </w:r>
    </w:p>
    <w:p>
      <w:pPr>
        <w:pStyle w:val="TextBody"/>
        <w:bidi w:val="0"/>
        <w:spacing w:lineRule="auto" w:line="288" w:before="140" w:after="283"/>
        <w:ind w:left="0" w:right="0" w:firstLine="720"/>
        <w:jc w:val="left"/>
        <w:rPr/>
      </w:pPr>
      <w:r>
        <w:rPr>
          <w:rFonts w:ascii="Arial;sans-serif" w:hAnsi="Arial;sans-serif"/>
          <w:b w:val="false"/>
          <w:color w:val="000000"/>
          <w:sz w:val="20"/>
        </w:rPr>
        <w:t>12.7</w:t>
      </w:r>
      <w:r>
        <w:rPr>
          <w:rFonts w:ascii="Arial;sans-serif" w:hAnsi="Arial;sans-serif"/>
          <w:b w:val="false"/>
          <w:color w:val="000000"/>
          <w:sz w:val="20"/>
          <w:u w:val="single"/>
        </w:rPr>
        <w:t>Agreements with Company</w:t>
      </w:r>
      <w:r>
        <w:rPr>
          <w:rFonts w:ascii="Arial;sans-serif" w:hAnsi="Arial;sans-serif"/>
          <w:b w:val="false"/>
          <w:color w:val="000000"/>
          <w:sz w:val="20"/>
        </w:rPr>
        <w:t xml:space="preserve">. An Award under the Plan shall be subject to such terms and conditions, not inconsistent with the Plan, as the Committee may, in its sole discretion, prescribe. Each grant of an Award to a Participant shall be evidenced by an Agreement in such form as is determined by the Committee (or, subject to applicable law, its designee pursuant to </w:t>
      </w:r>
      <w:r>
        <w:rPr>
          <w:rFonts w:ascii="Arial;sans-serif" w:hAnsi="Arial;sans-serif"/>
          <w:b/>
          <w:color w:val="000000"/>
          <w:sz w:val="20"/>
          <w:u w:val="single"/>
        </w:rPr>
        <w:t>Section 4.4</w:t>
      </w:r>
      <w:r>
        <w:rPr>
          <w:rFonts w:ascii="Arial;sans-serif" w:hAnsi="Arial;sans-serif"/>
          <w:b w:val="false"/>
          <w:color w:val="000000"/>
          <w:sz w:val="20"/>
        </w:rPr>
        <w:t xml:space="preserve">) setting forth the terms and conditions of such Award. </w:t>
      </w:r>
    </w:p>
    <w:p>
      <w:pPr>
        <w:pStyle w:val="TextBody"/>
        <w:bidi w:val="0"/>
        <w:spacing w:lineRule="auto" w:line="288" w:before="140" w:after="283"/>
        <w:ind w:left="0" w:right="0" w:firstLine="720"/>
        <w:jc w:val="left"/>
        <w:rPr/>
      </w:pPr>
      <w:r>
        <w:rPr>
          <w:rFonts w:ascii="Arial;sans-serif" w:hAnsi="Arial;sans-serif"/>
          <w:b w:val="false"/>
          <w:color w:val="000000"/>
          <w:sz w:val="20"/>
        </w:rPr>
        <w:t>12.8</w:t>
      </w:r>
      <w:r>
        <w:rPr>
          <w:rFonts w:ascii="Arial;sans-serif" w:hAnsi="Arial;sans-serif"/>
          <w:b w:val="false"/>
          <w:color w:val="000000"/>
          <w:sz w:val="20"/>
          <w:u w:val="single"/>
        </w:rPr>
        <w:t>Company Intent</w:t>
      </w:r>
      <w:r>
        <w:rPr>
          <w:rFonts w:ascii="Arial;sans-serif" w:hAnsi="Arial;sans-serif"/>
          <w:b w:val="false"/>
          <w:color w:val="000000"/>
          <w:sz w:val="20"/>
        </w:rPr>
        <w:t xml:space="preserve">. The Company intends that the Plan and any grants hereunder comply in all respects with Rule 16b-3 under the Act, and any ambiguities or inconsistencies in the construction of the Plan or Agreements shall be interpreted to give effect to such intention. </w:t>
      </w:r>
    </w:p>
    <w:p>
      <w:pPr>
        <w:pStyle w:val="TextBody"/>
        <w:bidi w:val="0"/>
        <w:spacing w:lineRule="auto" w:line="288" w:before="140" w:after="283"/>
        <w:ind w:left="0" w:right="0" w:firstLine="720"/>
        <w:jc w:val="left"/>
        <w:rPr/>
      </w:pPr>
      <w:r>
        <w:rPr>
          <w:rFonts w:ascii="Arial;sans-serif" w:hAnsi="Arial;sans-serif"/>
          <w:b w:val="false"/>
          <w:color w:val="000000"/>
          <w:sz w:val="20"/>
        </w:rPr>
        <w:t>12.9</w:t>
      </w:r>
      <w:r>
        <w:rPr>
          <w:rFonts w:ascii="Arial;sans-serif" w:hAnsi="Arial;sans-serif"/>
          <w:b w:val="false"/>
          <w:color w:val="000000"/>
          <w:sz w:val="20"/>
          <w:u w:val="single"/>
        </w:rPr>
        <w:t>Unfunded Plan</w:t>
      </w:r>
      <w:r>
        <w:rPr>
          <w:rFonts w:ascii="Arial;sans-serif" w:hAnsi="Arial;sans-serif"/>
          <w:b w:val="false"/>
          <w:color w:val="000000"/>
          <w:sz w:val="20"/>
        </w:rPr>
        <w:t xml:space="preserve">. The Plan shall be unfunded. Bookkeeping accounts may be established with respect to Participants who are granted Awards under the Plan, but any such accounts will be used merely as a bookkeeping convenience. The Company shall not be required to segregate any assets which may at any time be represented by Awards. </w:t>
      </w:r>
    </w:p>
    <w:p>
      <w:pPr>
        <w:pStyle w:val="TextBody"/>
        <w:bidi w:val="0"/>
        <w:spacing w:lineRule="auto" w:line="288" w:before="140" w:after="283"/>
        <w:ind w:left="0" w:right="0" w:firstLine="720"/>
        <w:jc w:val="left"/>
        <w:rPr/>
      </w:pPr>
      <w:r>
        <w:rPr>
          <w:rFonts w:ascii="Arial;sans-serif" w:hAnsi="Arial;sans-serif"/>
          <w:b w:val="false"/>
          <w:color w:val="000000"/>
          <w:sz w:val="20"/>
        </w:rPr>
        <w:t>12.10</w:t>
      </w:r>
      <w:r>
        <w:rPr>
          <w:rFonts w:ascii="Arial;sans-serif" w:hAnsi="Arial;sans-serif"/>
          <w:b w:val="false"/>
          <w:color w:val="000000"/>
          <w:sz w:val="20"/>
          <w:u w:val="single"/>
        </w:rPr>
        <w:t>Fractional Shares</w:t>
      </w:r>
      <w:r>
        <w:rPr>
          <w:rFonts w:ascii="Arial;sans-serif" w:hAnsi="Arial;sans-serif"/>
          <w:b w:val="false"/>
          <w:color w:val="000000"/>
          <w:sz w:val="20"/>
        </w:rPr>
        <w:t xml:space="preserve">. The Company shall not be required to issue any fractional shares of Stock pursuant to the Plan. The Committee may provide for the elimination of fractions or for the settlement thereof in cash. </w:t>
      </w:r>
    </w:p>
    <w:p>
      <w:pPr>
        <w:pStyle w:val="TextBody"/>
        <w:bidi w:val="0"/>
        <w:spacing w:lineRule="auto" w:line="288" w:before="140" w:after="283"/>
        <w:ind w:left="0" w:right="0" w:firstLine="720"/>
        <w:jc w:val="left"/>
        <w:rPr/>
      </w:pPr>
      <w:r>
        <w:rPr>
          <w:rFonts w:ascii="Arial;sans-serif" w:hAnsi="Arial;sans-serif"/>
          <w:b w:val="false"/>
          <w:color w:val="000000"/>
          <w:sz w:val="20"/>
        </w:rPr>
        <w:t>12.11</w:t>
      </w:r>
      <w:r>
        <w:rPr>
          <w:rFonts w:ascii="Arial;sans-serif" w:hAnsi="Arial;sans-serif"/>
          <w:b w:val="false"/>
          <w:color w:val="000000"/>
          <w:sz w:val="20"/>
          <w:u w:val="single"/>
        </w:rPr>
        <w:t>Code Section 409A</w:t>
      </w:r>
      <w:r>
        <w:rPr>
          <w:rFonts w:ascii="Arial;sans-serif" w:hAnsi="Arial;sans-serif"/>
          <w:b w:val="false"/>
          <w:color w:val="000000"/>
          <w:sz w:val="20"/>
        </w:rPr>
        <w:t xml:space="preserve">. Unless the Committee expressly determines otherwise, Awards are intended to be exempt from Code Section 409A as stock rights or short-term deferrals and, accordingly, the terms of any Awards shall be construed and administered to preserve such exemption (including with respect to the time of payment following a Change of Control). To the extent that Code Section 409A applies to a particular Award granted under the Plan (notwithstanding the preceding sentence), then the terms of the Award shall be construed and administered to permit the Award to comply with Code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60705"/>
                <wp:effectExtent l="0" t="0" r="0" b="0"/>
                <wp:wrapNone/>
                <wp:docPr id="20" name="Frame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- 13 -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- 13 -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r>
        <w:rPr>
          <w:rFonts w:ascii="Arial;sans-serif" w:hAnsi="Arial;sans-serif"/>
          <w:b w:val="false"/>
          <w:color w:val="000000"/>
          <w:sz w:val="20"/>
        </w:rPr>
        <w:t>409A, including, if necessary, by delaying the payment of any Award payable upon separation from service to a Participant who is a “specified employee” (as defined in Code Section 409A and determined consistently for all Company arrangements that are subject to Code Section 409A), for a period of six months and one day after such Participant’s separation from service (as defined in Code Section 409A, but treating the Company as constituting a single service recipient unless the Committee timely provides otherwise). In the event anyone is subject to income inclusion, additional interest or taxes, or any other adverse consequences under Code Section 409A (“</w:t>
      </w:r>
      <w:r>
        <w:rPr>
          <w:rFonts w:ascii="Arial;sans-serif" w:hAnsi="Arial;sans-serif"/>
          <w:b/>
          <w:i/>
          <w:color w:val="000000"/>
          <w:sz w:val="20"/>
        </w:rPr>
        <w:t>Non-compliance</w:t>
      </w:r>
      <w:r>
        <w:rPr>
          <w:color w:val="000000"/>
        </w:rPr>
        <w:t>”</w:t>
      </w:r>
      <w:r>
        <w:rPr>
          <w:rFonts w:ascii="Arial;sans-serif" w:hAnsi="Arial;sans-serif"/>
          <w:b w:val="false"/>
          <w:color w:val="000000"/>
          <w:sz w:val="20"/>
        </w:rPr>
        <w:t xml:space="preserve">), then neither the Company, the Committee, the Board nor its or their employees, designees, agents or contractors shall be liable to any Participant or other persons in connection with any Non-compliance. </w:t>
      </w:r>
    </w:p>
    <w:p>
      <w:pPr>
        <w:pStyle w:val="TextBody"/>
        <w:bidi w:val="0"/>
        <w:spacing w:lineRule="auto" w:line="288" w:before="140" w:after="283"/>
        <w:ind w:left="0" w:right="0" w:firstLine="720"/>
        <w:jc w:val="left"/>
        <w:rPr/>
      </w:pPr>
      <w:r>
        <w:rPr>
          <w:rFonts w:ascii="Arial;sans-serif" w:hAnsi="Arial;sans-serif"/>
          <w:b w:val="false"/>
          <w:color w:val="000000"/>
          <w:sz w:val="20"/>
        </w:rPr>
        <w:t>12.12</w:t>
      </w:r>
      <w:r>
        <w:rPr>
          <w:rFonts w:ascii="Arial;sans-serif" w:hAnsi="Arial;sans-serif"/>
          <w:b w:val="false"/>
          <w:color w:val="000000"/>
          <w:sz w:val="20"/>
          <w:u w:val="single"/>
        </w:rPr>
        <w:t>Requirements of Law</w:t>
      </w:r>
      <w:r>
        <w:rPr>
          <w:rFonts w:ascii="Arial;sans-serif" w:hAnsi="Arial;sans-serif"/>
          <w:b w:val="false"/>
          <w:color w:val="000000"/>
          <w:sz w:val="20"/>
        </w:rPr>
        <w:t>. The granting of Awards and the issuance of shares of Stock shall be subject to all applicable laws, rules, and regulations, and to such approvals by any governmental agencies or securities exchanges as may be required. Each Award is subject to the requirement that, if at any time the Committee determines, in its discretion, that the listing, registration or qualification of shares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Awards shall be granted or payment made or shares of Stock issued, in whole or in part, unless such listing, registration, qualification, consent or approval has been effected or obtained free of any conditions as acceptable to the Committee. Nothing in this Plan, an Agreement or otherwise (a) limits the Participant’s right to any monetary award offered by a government-administered whistleblower award program for providing information directly to a government agency (including the Securities and Exchange Commission pursuant to Section 21F of the Act, the Dodd-Frank Wall Street Reform and Consumer Protection Act, or the Sarbanes-Oxley Act of 2002) or (b) prevents the Participant from providing, without prior notice to the Company,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the Participant is not prohibited from providing information (including documents) voluntarily to the Securities and Exchange Commission pursuant to Section 21F of the Act).</w:t>
      </w:r>
    </w:p>
    <w:p>
      <w:pPr>
        <w:pStyle w:val="TextBody"/>
        <w:bidi w:val="0"/>
        <w:spacing w:lineRule="auto" w:line="288" w:before="140" w:after="283"/>
        <w:ind w:left="0" w:right="0" w:firstLine="720"/>
        <w:jc w:val="left"/>
        <w:rPr/>
      </w:pPr>
      <w:r>
        <w:rPr>
          <w:rFonts w:ascii="Arial;sans-serif" w:hAnsi="Arial;sans-serif"/>
          <w:b w:val="false"/>
          <w:color w:val="000000"/>
          <w:sz w:val="20"/>
        </w:rPr>
        <w:t>12.13</w:t>
      </w:r>
      <w:r>
        <w:rPr>
          <w:rFonts w:ascii="Arial;sans-serif" w:hAnsi="Arial;sans-serif"/>
          <w:b w:val="false"/>
          <w:color w:val="000000"/>
          <w:sz w:val="20"/>
          <w:u w:val="single"/>
        </w:rPr>
        <w:t>Effective Date/Termination</w:t>
      </w:r>
      <w:r>
        <w:rPr>
          <w:rFonts w:ascii="Arial;sans-serif" w:hAnsi="Arial;sans-serif"/>
          <w:b w:val="false"/>
          <w:color w:val="000000"/>
          <w:sz w:val="20"/>
        </w:rPr>
        <w:t xml:space="preserve">. The Plan will be effective as of the Effective Date. No grants will be made on or after the Effective Date under the Prior Plan, provided that outstanding awards granted under the Prior Plan will continue following the Effective Date in accordance with their terms. No Award shall be granted under the Plan on or after the tenth anniversary of the Effective Date, or such earlier date as may be determined by the Board or the Committee, but all grants made prior to such date will continue in effect thereafter subject to the terms thereof and of the Plan. No termination of the Plan shall adversely affect any Award previously granted. </w:t>
      </w:r>
    </w:p>
    <w:p>
      <w:pPr>
        <w:pStyle w:val="TextBody"/>
        <w:bidi w:val="0"/>
        <w:spacing w:lineRule="auto" w:line="288" w:before="140" w:after="283"/>
        <w:ind w:left="0" w:right="0" w:firstLine="720"/>
        <w:jc w:val="left"/>
        <w:rPr/>
      </w:pPr>
      <w:r>
        <w:rPr>
          <w:rFonts w:ascii="Arial;sans-serif" w:hAnsi="Arial;sans-serif"/>
          <w:b w:val="false"/>
          <w:color w:val="000000"/>
          <w:sz w:val="20"/>
        </w:rPr>
        <w:t>12.14</w:t>
      </w:r>
      <w:r>
        <w:rPr>
          <w:rFonts w:ascii="Arial;sans-serif" w:hAnsi="Arial;sans-serif"/>
          <w:b w:val="false"/>
          <w:color w:val="000000"/>
          <w:sz w:val="20"/>
          <w:u w:val="single"/>
        </w:rPr>
        <w:t>Governing Law</w:t>
      </w:r>
      <w:r>
        <w:rPr>
          <w:rFonts w:ascii="Arial;sans-serif" w:hAnsi="Arial;sans-serif"/>
          <w:b w:val="false"/>
          <w:color w:val="000000"/>
          <w:sz w:val="20"/>
        </w:rPr>
        <w:t xml:space="preserve">. The Plan, and all Agreements hereunder, shall be construed in accordance with and governed by the laws of the State of Delaware.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5.1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60705"/>
                <wp:effectExtent l="0" t="0" r="0" b="0"/>
                <wp:wrapNone/>
                <wp:docPr id="21"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- 14 -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- 14 -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43" w:after="20"/>
              <w:jc w:val="left"/>
              <w:rPr/>
            </w:pPr>
            <w:r>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43" w:after="20"/>
              <w:jc w:val="both"/>
              <w:rPr/>
            </w:pPr>
            <w:r>
              <w:rPr/>
            </w:r>
          </w:p>
        </w:tc>
      </w:tr>
    </w:tbl>
    <w:p>
      <w:pPr>
        <w:pStyle w:val="TextBody"/>
        <w:bidi w:val="0"/>
        <w:spacing w:before="0" w:after="0"/>
        <w:jc w:val="right"/>
        <w:rPr/>
      </w:pPr>
      <w:r>
        <w:rPr/>
      </w:r>
    </w:p>
    <w:tbl>
      <w:tblPr>
        <w:tblW w:w="2873" w:type="dxa"/>
        <w:jc w:val="left"/>
        <w:tblInd w:w="0" w:type="dxa"/>
        <w:tblLayout w:type="fixed"/>
        <w:tblCellMar>
          <w:top w:w="28" w:type="dxa"/>
          <w:left w:w="28" w:type="dxa"/>
          <w:bottom w:w="28" w:type="dxa"/>
          <w:right w:w="28" w:type="dxa"/>
        </w:tblCellMar>
      </w:tblPr>
      <w:tblGrid>
        <w:gridCol w:w="124"/>
        <w:gridCol w:w="109"/>
        <w:gridCol w:w="109"/>
        <w:gridCol w:w="719"/>
        <w:gridCol w:w="719"/>
        <w:gridCol w:w="7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[JONES DAY Letterhead]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Lamb Weston Holdings, Inc. </w:t>
        <w:br/>
        <w:t>599 S. Rivershore Lane</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Eagle, Idaho 83616</w:t>
      </w:r>
    </w:p>
    <w:p>
      <w:pPr>
        <w:pStyle w:val="TextBody"/>
        <w:bidi w:val="0"/>
        <w:spacing w:before="0" w:after="0"/>
        <w:jc w:val="left"/>
        <w:rPr/>
      </w:pPr>
      <w:r>
        <w:rPr/>
      </w:r>
    </w:p>
    <w:p>
      <w:pPr>
        <w:pStyle w:val="TextBody"/>
        <w:bidi w:val="0"/>
        <w:spacing w:lineRule="auto" w:line="333" w:before="0" w:after="0"/>
        <w:ind w:left="0" w:right="0" w:hanging="720"/>
        <w:jc w:val="left"/>
        <w:rPr/>
      </w:pPr>
      <w:r>
        <w:rPr>
          <w:rFonts w:ascii="Times New Roman;serif" w:hAnsi="Times New Roman;serif"/>
          <w:b w:val="false"/>
          <w:color w:val="000000"/>
          <w:sz w:val="20"/>
        </w:rPr>
        <w:t>Re:    </w:t>
      </w:r>
      <w:r>
        <w:rPr>
          <w:rFonts w:ascii="Times New Roman;serif" w:hAnsi="Times New Roman;serif"/>
          <w:b w:val="false"/>
          <w:color w:val="000000"/>
          <w:sz w:val="20"/>
          <w:u w:val="single"/>
        </w:rPr>
        <w:t>Registration Statement on Form S-8 filed by Lamb Weston Holdings, Inc.</w:t>
      </w:r>
    </w:p>
    <w:p>
      <w:pPr>
        <w:pStyle w:val="TextBody"/>
        <w:bidi w:val="0"/>
        <w:spacing w:lineRule="auto" w:line="333" w:before="240" w:after="24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312" w:before="0" w:after="0"/>
        <w:jc w:val="both"/>
        <w:rPr/>
      </w:pPr>
      <w:r>
        <w:rPr>
          <w:color w:val="000000"/>
        </w:rPr>
        <w:t>     </w:t>
      </w:r>
      <w:r>
        <w:rPr>
          <w:rFonts w:ascii="Times New Roman;serif" w:hAnsi="Times New Roman;serif"/>
          <w:b w:val="false"/>
          <w:color w:val="000000"/>
          <w:sz w:val="20"/>
        </w:rPr>
        <w:t>We have acted as counsel for Lamb Weston Holdings,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registration of 3,945,389 shares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of the Company’s common stock, par value $1.00 per share, that may be issued or delivered and sold pursuant to the Lamb Weston Holdings, Inc. 2026 Equity and Incentive Compensation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Shares that may be issued or delivered and sold pursuant to the Plan and the authorized forms of applicable award agreements thereunder (the “</w:t>
      </w:r>
      <w:r>
        <w:rPr>
          <w:rFonts w:ascii="Times New Roman;serif" w:hAnsi="Times New Roman;serif"/>
          <w:b/>
          <w:i/>
          <w:color w:val="000000"/>
          <w:sz w:val="20"/>
        </w:rPr>
        <w:t>Award Agreements</w:t>
      </w:r>
      <w:r>
        <w:rPr>
          <w:color w:val="000000"/>
        </w:rPr>
        <w:t>”</w:t>
      </w:r>
      <w:r>
        <w:rPr>
          <w:rFonts w:ascii="Times New Roman;serif" w:hAnsi="Times New Roman;serif"/>
          <w:b w:val="false"/>
          <w:color w:val="000000"/>
          <w:sz w:val="20"/>
        </w:rPr>
        <w:t>) will be, when issued or delivered and sold in accordance with the Plan and the Award Agreements, validly issued, fully paid and nonassessable, provided that the consideration for the Shares is at least equal to the stated par value thereof.</w:t>
      </w:r>
    </w:p>
    <w:p>
      <w:pPr>
        <w:pStyle w:val="TextBody"/>
        <w:bidi w:val="0"/>
        <w:spacing w:before="0" w:after="0"/>
        <w:jc w:val="both"/>
        <w:rPr/>
      </w:pPr>
      <w:r>
        <w:rPr/>
      </w:r>
    </w:p>
    <w:p>
      <w:pPr>
        <w:pStyle w:val="TextBody"/>
        <w:bidi w:val="0"/>
        <w:spacing w:lineRule="auto" w:line="312"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such Shares are issued or delivered or sold by the Company, and the Company will take no action inconsistent with such resolutions. In rendering the opinion above, we have assumed that each award under the Plan will be approved by the Board of Directors of the Company or an authorized committee thereof.</w:t>
      </w:r>
    </w:p>
    <w:p>
      <w:pPr>
        <w:pStyle w:val="TextBody"/>
        <w:bidi w:val="0"/>
        <w:spacing w:before="0" w:after="0"/>
        <w:jc w:val="left"/>
        <w:rPr/>
      </w:pPr>
      <w:r>
        <w:rPr/>
      </w:r>
    </w:p>
    <w:p>
      <w:pPr>
        <w:pStyle w:val="TextBody"/>
        <w:bidi w:val="0"/>
        <w:spacing w:lineRule="auto" w:line="312" w:before="0" w:after="0"/>
        <w:ind w:left="0" w:right="0" w:firstLine="490"/>
        <w:jc w:val="left"/>
        <w:rPr/>
      </w:pPr>
      <w:r>
        <w:rPr>
          <w:rFonts w:ascii="Times New Roman;serif" w:hAnsi="Times New Roman;serif"/>
          <w:b w:val="false"/>
          <w:color w:val="000000"/>
          <w:sz w:val="20"/>
        </w:rPr>
        <w:t>We hereby consent to the filing of this opinion as Exhibit 5.1 to the Registration Statement on Form S-8 filed by the Company to effect registration of the Shares under the Securities Act of 1933 (the “</w:t>
      </w:r>
      <w:r>
        <w:rPr>
          <w:rFonts w:ascii="Times New Roman;serif" w:hAnsi="Times New Roman;serif"/>
          <w:b/>
          <w:i/>
          <w:color w:val="000000"/>
          <w:sz w:val="20"/>
        </w:rPr>
        <w:t>Act</w:t>
      </w:r>
      <w:r>
        <w:rPr>
          <w:color w:val="000000"/>
        </w:rPr>
        <w:t>”</w:t>
      </w:r>
      <w:r>
        <w:rPr>
          <w:rFonts w:ascii="Times New Roman;serif" w:hAnsi="Times New Roman;serif"/>
          <w:b w:val="false"/>
          <w:color w:val="000000"/>
          <w:sz w:val="20"/>
        </w:rPr>
        <w:t>). In giving such consent, we do not thereby admit that we are included in the category of persons whose consent is required under Section 7 of the Act or the rules and regulations of the Securities and Exchange Commission promulgated thereunder.</w:t>
      </w:r>
    </w:p>
    <w:p>
      <w:pPr>
        <w:pStyle w:val="TextBody"/>
        <w:bidi w:val="0"/>
        <w:spacing w:before="0" w:after="0"/>
        <w:ind w:left="0" w:right="0" w:hanging="4590"/>
        <w:jc w:val="left"/>
        <w:rPr/>
      </w:pPr>
      <w:r>
        <w:rPr/>
      </w:r>
    </w:p>
    <w:p>
      <w:pPr>
        <w:pStyle w:val="TextBody"/>
        <w:bidi w:val="0"/>
        <w:spacing w:lineRule="auto" w:line="333" w:before="0" w:after="0"/>
        <w:ind w:left="0" w:right="0" w:hanging="4590"/>
        <w:jc w:val="left"/>
        <w:rPr>
          <w:color w:val="000000"/>
        </w:rPr>
      </w:pPr>
      <w:r>
        <w:rPr>
          <w:color w:val="000000"/>
        </w:rPr>
        <w:t>    </w:t>
      </w:r>
      <w:r>
        <w:rPr>
          <w:rFonts w:ascii="Times New Roman;serif" w:hAnsi="Times New Roman;serif"/>
          <w:b w:val="false"/>
          <w:color w:val="000000"/>
          <w:sz w:val="20"/>
        </w:rPr>
        <w:t>Sincerely yours,</w:t>
      </w:r>
    </w:p>
    <w:p>
      <w:pPr>
        <w:pStyle w:val="TextBody"/>
        <w:bidi w:val="0"/>
        <w:spacing w:before="0" w:after="0"/>
        <w:ind w:left="0" w:right="0" w:hanging="459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Jones Day </w:t>
      </w:r>
    </w:p>
    <w:p>
      <w:pPr>
        <w:pStyle w:val="TextBody"/>
        <w:bidi w:val="0"/>
        <w:spacing w:before="0" w:after="0"/>
        <w:ind w:left="0" w:right="0" w:hanging="4590"/>
        <w:jc w:val="left"/>
        <w:rPr/>
      </w:pPr>
      <w:r>
        <w:rPr/>
      </w:r>
    </w:p>
    <w:p>
      <w:pPr>
        <w:pStyle w:val="TextBody"/>
        <w:bidi w:val="0"/>
        <w:spacing w:lineRule="auto" w:line="333" w:before="0" w:after="0"/>
        <w:ind w:left="0" w:right="0" w:hanging="459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23.1</w:t>
      </w:r>
    </w:p>
    <w:p>
      <w:pPr>
        <w:pStyle w:val="TextBody"/>
        <w:bidi w:val="0"/>
        <w:spacing w:before="0" w:after="0"/>
        <w:jc w:val="left"/>
        <w:rPr/>
      </w:pPr>
      <w:r>
        <w:rPr/>
      </w:r>
    </w:p>
    <w:p>
      <w:pPr>
        <w:pStyle w:val="TextBody"/>
        <w:bidi w:val="0"/>
        <w:spacing w:before="0" w:after="0"/>
        <w:jc w:val="left"/>
        <w:rPr/>
      </w:pPr>
      <w:r>
        <w:rPr/>
        <w:drawing>
          <wp:inline distT="0" distB="0" distL="0" distR="0">
            <wp:extent cx="895350" cy="352425"/>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13"/>
                    <a:stretch>
                      <a:fillRect/>
                    </a:stretch>
                  </pic:blipFill>
                  <pic:spPr bwMode="auto">
                    <a:xfrm>
                      <a:off x="0" y="0"/>
                      <a:ext cx="895350" cy="35242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KPMG LLP</w:t>
      </w:r>
    </w:p>
    <w:p>
      <w:pPr>
        <w:pStyle w:val="TextBody"/>
        <w:bidi w:val="0"/>
        <w:spacing w:lineRule="atLeast" w:line="184" w:before="0" w:after="0"/>
        <w:jc w:val="left"/>
        <w:rPr>
          <w:rFonts w:ascii="Arial;sans-serif" w:hAnsi="Arial;sans-serif"/>
          <w:b w:val="false"/>
          <w:color w:val="000000"/>
          <w:sz w:val="16"/>
        </w:rPr>
      </w:pPr>
      <w:r>
        <w:rPr>
          <w:rFonts w:ascii="Arial;sans-serif" w:hAnsi="Arial;sans-serif"/>
          <w:b w:val="false"/>
          <w:color w:val="000000"/>
          <w:sz w:val="16"/>
        </w:rPr>
        <w:t>Suite 440</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1111 W Jefferson Street Boise, ID 83702-5392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6"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210" w:after="283"/>
        <w:ind w:left="0" w:right="0" w:hanging="1"/>
        <w:jc w:val="left"/>
        <w:rPr>
          <w:rFonts w:ascii="Arial;sans-serif" w:hAnsi="Arial;sans-serif"/>
          <w:b w:val="false"/>
          <w:color w:val="000000"/>
          <w:sz w:val="20"/>
        </w:rPr>
      </w:pPr>
      <w:r>
        <w:rPr>
          <w:rFonts w:ascii="Arial;sans-serif" w:hAnsi="Arial;sans-serif"/>
          <w:b w:val="false"/>
          <w:color w:val="000000"/>
          <w:sz w:val="20"/>
        </w:rPr>
        <w:t>We consent to the use of our reports dated July 24, 2026, with respect to the consolidated financial statements of Lamb Weston Holdings, Inc., and the effectiveness of internal control over financial reporting,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247775" cy="26670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14"/>
                    <a:stretch>
                      <a:fillRect/>
                    </a:stretch>
                  </pic:blipFill>
                  <pic:spPr bwMode="auto">
                    <a:xfrm>
                      <a:off x="0" y="0"/>
                      <a:ext cx="1247775" cy="266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204" w:after="283"/>
        <w:jc w:val="left"/>
        <w:rPr>
          <w:rFonts w:ascii="Arial;sans-serif" w:hAnsi="Arial;sans-serif"/>
          <w:b w:val="false"/>
          <w:color w:val="000000"/>
          <w:sz w:val="20"/>
        </w:rPr>
      </w:pPr>
      <w:r>
        <w:rPr>
          <w:rFonts w:ascii="Arial;sans-serif" w:hAnsi="Arial;sans-serif"/>
          <w:b w:val="false"/>
          <w:color w:val="000000"/>
          <w:sz w:val="20"/>
        </w:rPr>
        <w:t>Boise, Idaho September 23, 2026</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02640"/>
                <wp:effectExtent l="0" t="0" r="0" b="0"/>
                <wp:wrapNone/>
                <wp:docPr id="25" name="Frame23"/>
                <a:graphic xmlns:a="http://schemas.openxmlformats.org/drawingml/2006/main">
                  <a:graphicData uri="http://schemas.microsoft.com/office/word/2010/wordprocessingShape">
                    <wps:wsp>
                      <wps:cNvSpPr txBox="1"/>
                      <wps:spPr>
                        <a:xfrm>
                          <a:off x="0" y="0"/>
                          <a:ext cx="6480175" cy="80264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263"/>
                              <w:gridCol w:w="2864"/>
                              <w:gridCol w:w="4078"/>
                            </w:tblGrid>
                            <w:tr>
                              <w:trPr/>
                              <w:tc>
                                <w:tcPr>
                                  <w:tcW w:w="3263" w:type="dxa"/>
                                  <w:tcBorders/>
                                  <w:vAlign w:val="center"/>
                                </w:tcPr>
                                <w:p>
                                  <w:pPr>
                                    <w:pStyle w:val="TableContents"/>
                                    <w:bidi w:val="0"/>
                                    <w:spacing w:before="0" w:after="283"/>
                                    <w:jc w:val="left"/>
                                    <w:rPr>
                                      <w:sz w:val="4"/>
                                      <w:szCs w:val="4"/>
                                    </w:rPr>
                                  </w:pPr>
                                  <w:r>
                                    <w:rPr>
                                      <w:sz w:val="4"/>
                                      <w:szCs w:val="4"/>
                                    </w:rPr>
                                  </w:r>
                                  <w:r>
                                    <w:br w:type="page"/>
                                  </w:r>
                                </w:p>
                              </w:tc>
                              <w:tc>
                                <w:tcPr>
                                  <w:tcW w:w="2864"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6" w:after="283"/>
                                    <w:jc w:val="left"/>
                                    <w:rPr>
                                      <w:rFonts w:ascii="Arial;sans-serif" w:hAnsi="Arial;sans-serif"/>
                                      <w:b w:val="false"/>
                                      <w:color w:val="000000"/>
                                      <w:sz w:val="11"/>
                                    </w:rPr>
                                  </w:pPr>
                                  <w:r>
                                    <w:rPr>
                                      <w:rFonts w:ascii="Arial;sans-serif" w:hAnsi="Arial;sans-serif"/>
                                      <w:b w:val="false"/>
                                      <w:color w:val="000000"/>
                                      <w:sz w:val="11"/>
                                    </w:rPr>
                                    <w:t>KPMG LLP, a Delaware limited liability partnership, and its subsidiaries are part of the KPMG global organization of independent member firms affiliated with KPMG International Limited, a private English company limited by guarantee.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3263"/>
                        <w:gridCol w:w="2864"/>
                        <w:gridCol w:w="4078"/>
                      </w:tblGrid>
                      <w:tr>
                        <w:trPr/>
                        <w:tc>
                          <w:tcPr>
                            <w:tcW w:w="3263"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6" w:after="283"/>
                              <w:jc w:val="left"/>
                              <w:rPr>
                                <w:rFonts w:ascii="Arial;sans-serif" w:hAnsi="Arial;sans-serif"/>
                                <w:b w:val="false"/>
                                <w:color w:val="000000"/>
                                <w:sz w:val="11"/>
                              </w:rPr>
                            </w:pPr>
                            <w:r>
                              <w:rPr>
                                <w:rFonts w:ascii="Arial;sans-serif" w:hAnsi="Arial;sans-serif"/>
                                <w:b w:val="false"/>
                                <w:color w:val="000000"/>
                                <w:sz w:val="11"/>
                              </w:rPr>
                              <w:t>KPMG LLP, a Delaware limited liability partnership, and its subsidiaries are part of the KPMG global organization of independent member firms affiliated with KPMG International Limited, a private English company limited by guarantee.</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79273/000167927326000026/lw-20260531.htm" TargetMode="External"/><Relationship Id="rId3" Type="http://schemas.openxmlformats.org/officeDocument/2006/relationships/hyperlink" Target="https://www.sec.gov/ix?doc=/Archives/edgar/data/1679273/000167927326000026/lw-20260531.htm" TargetMode="External"/><Relationship Id="rId4" Type="http://schemas.openxmlformats.org/officeDocument/2006/relationships/hyperlink" Target="https://www.sec.gov/ix?doc=/Archives/edgar/data/1679273/000167927326000026/lw-20260531.htm" TargetMode="External"/><Relationship Id="rId5" Type="http://schemas.openxmlformats.org/officeDocument/2006/relationships/hyperlink" Target="https://www.sec.gov/ix?doc=/Archives/edgar/data/1679273/000167927326000026/lw-20260531.htm" TargetMode="External"/><Relationship Id="rId6" Type="http://schemas.openxmlformats.org/officeDocument/2006/relationships/hyperlink" Target="https://www.sec.gov/ix?doc=/Archives/edgar/data/0001679273/000167927326000041/lw-20260916.htm" TargetMode="External"/><Relationship Id="rId7" Type="http://schemas.openxmlformats.org/officeDocument/2006/relationships/hyperlink" Target="https://www.sec.gov/ix?doc=/Archives/edgar/data/0001679273/000167927326000041/lw-20260916.htm" TargetMode="External"/><Relationship Id="rId8" Type="http://schemas.openxmlformats.org/officeDocument/2006/relationships/hyperlink" Target="https://www.sec.gov/ix?doc=/Archives/edgar/data/0001679273/000167927326000041/lw-20260916.htm" TargetMode="External"/><Relationship Id="rId9" Type="http://schemas.openxmlformats.org/officeDocument/2006/relationships/hyperlink" Target="https://www.sec.gov/Archives/edgar/data/1679273/000155837019006311/lw-20190526ex43635a7e0.htm" TargetMode="External"/><Relationship Id="rId10" Type="http://schemas.openxmlformats.org/officeDocument/2006/relationships/hyperlink" Target="https://www.sec.gov/Archives/edgar/data/1679273/000119312516766127/d273163dex31.htm" TargetMode="External"/><Relationship Id="rId11" Type="http://schemas.openxmlformats.org/officeDocument/2006/relationships/hyperlink" Target="https://www.sec.gov/ix?doc=/Archives/edgar/data/0001679273/000167927324000064/lw-20240926.htm" TargetMode="External"/><Relationship Id="rId12" Type="http://schemas.openxmlformats.org/officeDocument/2006/relationships/hyperlink" Target="https://www.sec.gov/ix?doc=/Archives/edgar/data/0001679273/000110465923036640/tm239888d1_8k.htm" TargetMode="Externa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12831</Words>
  <Characters>67205</Characters>
  <CharactersWithSpaces>80033</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