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JANA Partners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SEVENTH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01"/>
        <w:gridCol w:w="773"/>
        <w:gridCol w:w="599"/>
        <w:gridCol w:w="338"/>
        <w:gridCol w:w="995"/>
        <w:gridCol w:w="424"/>
        <w:gridCol w:w="739"/>
        <w:gridCol w:w="1240"/>
        <w:gridCol w:w="961"/>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$1.00 per share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42.12</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5,348,980</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43.19</w:t>
            </w:r>
            <w:r>
              <w:rPr/>
              <w:t xml:space="preserve"> </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5,398,980</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JANA Partners Management, LP ("JANA" or the "Reporting Person") is a private money management firm which beneficially owns the securities reported herein through various accounts under its management and control. JANA Partners Management GP, LLC (the "GP") is the general partner of JANA. Barry Rosenstein is the Founder of the GP and JANA. Barry Rosenstein, JANA, and the GP disclaim any beneficial ownership of any of the Issuer's securities reported herein except to the extent of their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may be deemed to be a director by deputization for purposes of Section 16 under the Securities Exchange Act of 1934 by virtue of the fact that Scott Ostfeld, a Managing Partner and Portfolio Manager of JANA, currently serves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JANA Partners Management, LP, by Jennifer Fanjiang, Partner, Chief Legal Officer and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597"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3931</Characters>
  <CharactersWithSpaces>4591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