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02026_090752.xml.htm"/>
      <w:bookmarkStart w:id="1" w:name="ksform407302026_0907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Philip Amit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LAMB WESTON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Strategy/Tech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895"/>
        <w:gridCol w:w="459"/>
        <w:gridCol w:w="622"/>
        <w:gridCol w:w="1246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38,686.3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vest 33%, 33% and 34% on August 3, 2027, August 1, 2028 and July 31, 2029, respectively, or earlier upon certain events. Each RSU represents a contingent right to receive one share of Lamb Weston Holdings, Inc.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267.3 additional shares acquired since the date of the reporting person's last report through a dividend reinvestment feature.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Amit Philip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7207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3478</Characters>
  <CharactersWithSpaces>4052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