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92026_081008.xml.htm"/>
      <w:bookmarkStart w:id="1" w:name="ksform410092026_0810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Bensen Peter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LAMB WESTON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S. RIVERSHORE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EAGLE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83616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Lamb Weston Holdings, Inc.</w:t>
              </w:r>
            </w:hyperlink>
            <w:r>
              <w:rPr/>
              <w:t xml:space="preserve"> [ </w:t>
            </w:r>
            <w:r>
              <w:rPr>
                <w:rFonts w:ascii="Times;serif" w:hAnsi="Times;serif"/>
                <w:color w:val="0000FF"/>
                <w:sz w:val="24"/>
                <w:shd w:fill="FFFFFF" w:val="clear"/>
              </w:rPr>
              <w:t>LW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4"/>
        <w:gridCol w:w="919"/>
        <w:gridCol w:w="787"/>
        <w:gridCol w:w="610"/>
        <w:gridCol w:w="349"/>
        <w:gridCol w:w="888"/>
        <w:gridCol w:w="447"/>
        <w:gridCol w:w="613"/>
        <w:gridCol w:w="1159"/>
        <w:gridCol w:w="997"/>
        <w:gridCol w:w="11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5,458</w:t>
            </w:r>
            <w:r>
              <w:rPr>
                <w:rFonts w:ascii="Times;serif" w:hAnsi="Times;serif"/>
                <w:color w:val="008000"/>
                <w:position w:val="7"/>
                <w:sz w:val="16"/>
                <w:sz w:val="20"/>
                <w:shd w:fill="FFFFFF" w:val="clear"/>
              </w:rPr>
              <w:t>(1)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26,316</w:t>
            </w:r>
            <w:r>
              <w:rPr>
                <w:rFonts w:ascii="Times;serif" w:hAnsi="Times;serif"/>
                <w:color w:val="008000"/>
                <w:position w:val="7"/>
                <w:sz w:val="16"/>
                <w:sz w:val="20"/>
                <w:shd w:fill="FFFFFF" w:val="clear"/>
              </w:rPr>
              <w:t>(2)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17,204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Revocable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vest on the earlier of (1) the first anniversary of the date of grant and (2) the date of the next annual meeting of Lamb Weston Holdings, Inc.'s ("Lamb Weston") stockholders that is at least 50 weeks after September 16, 2026, or earlier upon certain events. Each RSU represents a contingent right to receive one share of Lamb Weston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365.3 additional shares acquired since the date of the reporting person's last report through a dividend reinvestment feature.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Eryk J. Spytek by Power of Attorney from Peter J. Bensen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5526" TargetMode="External"/><Relationship Id="rId5" Type="http://schemas.openxmlformats.org/officeDocument/2006/relationships/hyperlink" Target="http://www.sec.gov/cgi-bin/browse-edgar?action=getcompany&amp;CIK=00016792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671</Words>
  <Characters>3591</Characters>
  <CharactersWithSpaces>4190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