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Ostfeld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 SEVENTH AVENUE, 24TH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6"/>
        <w:gridCol w:w="774"/>
        <w:gridCol w:w="601"/>
        <w:gridCol w:w="351"/>
        <w:gridCol w:w="853"/>
        <w:gridCol w:w="460"/>
        <w:gridCol w:w="623"/>
        <w:gridCol w:w="1173"/>
        <w:gridCol w:w="1005"/>
        <w:gridCol w:w="10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par value $1.00 per share</w:t>
            </w:r>
            <w:r>
              <w:rPr>
                <w:rFonts w:ascii="Times;serif" w:hAnsi="Times;serif"/>
                <w:color w:val="008000"/>
                <w:position w:val="7"/>
                <w:sz w:val="16"/>
                <w:sz w:val="20"/>
                <w:shd w:fill="FFFFFF" w:val="clear"/>
              </w:rPr>
              <w:t>(1)(2)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5,458</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security represents restricted stock units ("RSUs") granted to Scott Ostfeld ("Mr. Ostfeld"), a Managing Partner and Portfolio Manager of JANA Partners Management, LP ("JANA"), in connection with his service on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on the earlier of (1) the first anniversary of the date of grant and (2) the date of the next annual meeting of the Issuer's stockholders that is at least 50 weeks after September 16, 2026, or earlier upon certain events. Each RSU represents a contingent right to receive one share of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Ostfeld has assigned all rights to any shares issuable pursuant to the grant to JANA. Pursuant to the assignment, settlement of the award on vesting will be made to JANA.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Based on the current structure of JANA, JANA will no longer file as a director-by-deputization for purposes of Section 16 under the Securities Exchange Act of 1934.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Ostfeld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0312"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3852</Characters>
  <CharactersWithSpaces>4506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