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302026_090717.xml.htm"/>
      <w:bookmarkStart w:id="1" w:name="ksform407302026_09071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Smith Michael Jared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599 S. RIVERSHORE LANE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EAGLE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83616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Lamb Weston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0"/>
        <w:gridCol w:w="901"/>
        <w:gridCol w:w="771"/>
        <w:gridCol w:w="598"/>
        <w:gridCol w:w="347"/>
        <w:gridCol w:w="970"/>
        <w:gridCol w:w="452"/>
        <w:gridCol w:w="614"/>
        <w:gridCol w:w="1275"/>
        <w:gridCol w:w="994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45,770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187,863.3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 that vest 33%, 33% and 34% on August 3, 2027, August 1, 2028 and July 31, 2029, respectively, or earlier upon certain events. Each RSU represents a contingent right to receive one share of Lamb Weston Holdings, Inc. common stock upon settlement.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Eryk J. Spytek by Power of Attorney from Michael J. Smith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2056" TargetMode="External"/><Relationship Id="rId5" Type="http://schemas.openxmlformats.org/officeDocument/2006/relationships/hyperlink" Target="http://www.sec.gov/cgi-bin/browse-edgar?action=getcompany&amp;CIK=00016792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620</Words>
  <Characters>3333</Characters>
  <CharactersWithSpaces>3886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