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92026_081010.xml.htm"/>
      <w:bookmarkStart w:id="1" w:name="ksform410092026_0810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Hawaux Andre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LAMB WESTON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S. RIVERSHORE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EAGLE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83616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Lamb Weston Holdings, Inc.</w:t>
              </w:r>
            </w:hyperlink>
            <w:r>
              <w:rPr/>
              <w:t xml:space="preserve"> [ </w:t>
            </w:r>
            <w:r>
              <w:rPr>
                <w:rFonts w:ascii="Times;serif" w:hAnsi="Times;serif"/>
                <w:color w:val="0000FF"/>
                <w:sz w:val="24"/>
                <w:shd w:fill="FFFFFF" w:val="clear"/>
              </w:rPr>
              <w:t>LW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5,458</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59,352</w:t>
            </w:r>
            <w:r>
              <w:rPr>
                <w:rFonts w:ascii="Times;serif" w:hAnsi="Times;serif"/>
                <w:color w:val="008000"/>
                <w:position w:val="7"/>
                <w:sz w:val="16"/>
                <w:sz w:val="20"/>
                <w:shd w:fill="FFFFFF" w:val="clear"/>
              </w:rPr>
              <w:t>(2)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vest on the earlier of (1) the first anniversary of the date of grant and (2) the date of the next annual meeting of Lamb Weston Holdings, Inc.'s ("Lamb Weston") stockholders that is at least 50 weeks after September 16, 2026, or earlier upon certain events. Each RSU represents a contingent right to receive one share of Lamb Weston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135 additional shares acquired since the date of the reporting person's last report through a dividend reinvestment feature. Also includes 9,227 shares that were previously reported as indirectly owned by the reporting person's spouse.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Eryk J. Spytek by Power of Attorney from Andre J. Hawaux</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7043" TargetMode="External"/><Relationship Id="rId5" Type="http://schemas.openxmlformats.org/officeDocument/2006/relationships/hyperlink" Target="http://www.sec.gov/cgi-bin/browse-edgar?action=getcompany&amp;CIK=00016792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3650</Characters>
  <CharactersWithSpaces>4262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