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19, 2026</w:t>
      </w:r>
    </w:p>
    <w:p>
      <w:pPr>
        <w:spacing w:after="0" w:line="14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4"/>
          <w:szCs w:val="34"/>
          <w:b w:val="1"/>
          <w:bCs w:val="1"/>
          <w:color w:val="auto"/>
        </w:rPr>
        <w:t>Lamb Weston Holdings, Inc.</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12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85" w:lineRule="exact"/>
        <w:rPr>
          <w:sz w:val="24"/>
          <w:szCs w:val="24"/>
          <w:color w:val="auto"/>
        </w:rPr>
      </w:pPr>
    </w:p>
    <w:tbl>
      <w:tblPr>
        <w:tblLayout w:type="fixed"/>
        <w:tblInd w:w="1220" w:type="dxa"/>
        <w:tblCellMar>
          <w:top w:w="0" w:type="dxa"/>
          <w:left w:w="0" w:type="dxa"/>
          <w:bottom w:w="0" w:type="dxa"/>
          <w:right w:w="0" w:type="dxa"/>
        </w:tblCellMar>
      </w:tblPr>
      <w:tr>
        <w:trPr>
          <w:trHeight w:val="149"/>
        </w:trPr>
        <w:tc>
          <w:tcPr>
            <w:tcW w:w="2360" w:type="dxa"/>
            <w:vAlign w:val="bottom"/>
          </w:tcPr>
          <w:p>
            <w:pPr>
              <w:jc w:val="center"/>
              <w:ind w:right="971"/>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320" w:type="dxa"/>
            <w:vAlign w:val="bottom"/>
          </w:tcPr>
          <w:p>
            <w:pPr>
              <w:jc w:val="right"/>
              <w:ind w:right="2012"/>
              <w:spacing w:after="0"/>
              <w:rPr>
                <w:sz w:val="20"/>
                <w:szCs w:val="20"/>
                <w:color w:val="auto"/>
              </w:rPr>
            </w:pPr>
            <w:r>
              <w:rPr>
                <w:rFonts w:ascii="Times New Roman" w:cs="Times New Roman" w:eastAsia="Times New Roman" w:hAnsi="Times New Roman"/>
                <w:sz w:val="11"/>
                <w:szCs w:val="11"/>
                <w:b w:val="1"/>
                <w:bCs w:val="1"/>
                <w:color w:val="auto"/>
              </w:rPr>
              <w:t>1-37830</w:t>
            </w: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61-1797411</w:t>
            </w:r>
          </w:p>
        </w:tc>
      </w:tr>
      <w:tr>
        <w:trPr>
          <w:trHeight w:val="126"/>
        </w:trPr>
        <w:tc>
          <w:tcPr>
            <w:tcW w:w="2360" w:type="dxa"/>
            <w:vAlign w:val="bottom"/>
          </w:tcPr>
          <w:p>
            <w:pPr>
              <w:jc w:val="center"/>
              <w:ind w:right="971"/>
              <w:spacing w:after="0"/>
              <w:rPr>
                <w:sz w:val="20"/>
                <w:szCs w:val="20"/>
                <w:color w:val="auto"/>
              </w:rPr>
            </w:pPr>
            <w:r>
              <w:rPr>
                <w:rFonts w:ascii="Times New Roman" w:cs="Times New Roman" w:eastAsia="Times New Roman" w:hAnsi="Times New Roman"/>
                <w:sz w:val="8"/>
                <w:szCs w:val="8"/>
                <w:color w:val="auto"/>
              </w:rPr>
              <w:t>(State or other jurisdiction</w:t>
            </w:r>
          </w:p>
        </w:tc>
        <w:tc>
          <w:tcPr>
            <w:tcW w:w="4320" w:type="dxa"/>
            <w:vAlign w:val="bottom"/>
          </w:tcPr>
          <w:p>
            <w:pPr>
              <w:jc w:val="center"/>
              <w:ind w:right="132"/>
              <w:spacing w:after="0"/>
              <w:rPr>
                <w:sz w:val="20"/>
                <w:szCs w:val="20"/>
                <w:color w:val="auto"/>
              </w:rPr>
            </w:pPr>
            <w:r>
              <w:rPr>
                <w:rFonts w:ascii="Times New Roman" w:cs="Times New Roman" w:eastAsia="Times New Roman" w:hAnsi="Times New Roman"/>
                <w:sz w:val="8"/>
                <w:szCs w:val="8"/>
                <w:color w:val="auto"/>
              </w:rPr>
              <w:t>(Commission</w:t>
            </w:r>
          </w:p>
        </w:tc>
        <w:tc>
          <w:tcPr>
            <w:tcW w:w="1820" w:type="dxa"/>
            <w:vAlign w:val="bottom"/>
          </w:tcPr>
          <w:p>
            <w:pPr>
              <w:jc w:val="center"/>
              <w:ind w:left="1152"/>
              <w:spacing w:after="0"/>
              <w:rPr>
                <w:sz w:val="20"/>
                <w:szCs w:val="20"/>
                <w:color w:val="auto"/>
              </w:rPr>
            </w:pPr>
            <w:r>
              <w:rPr>
                <w:rFonts w:ascii="Times New Roman" w:cs="Times New Roman" w:eastAsia="Times New Roman" w:hAnsi="Times New Roman"/>
                <w:sz w:val="8"/>
                <w:szCs w:val="8"/>
                <w:color w:val="auto"/>
              </w:rPr>
              <w:t>(I.R.S. Employer</w:t>
            </w:r>
          </w:p>
        </w:tc>
      </w:tr>
      <w:tr>
        <w:trPr>
          <w:trHeight w:val="108"/>
        </w:trPr>
        <w:tc>
          <w:tcPr>
            <w:tcW w:w="2360" w:type="dxa"/>
            <w:vAlign w:val="bottom"/>
          </w:tcPr>
          <w:p>
            <w:pPr>
              <w:jc w:val="center"/>
              <w:ind w:right="971"/>
              <w:spacing w:after="0"/>
              <w:rPr>
                <w:sz w:val="20"/>
                <w:szCs w:val="20"/>
                <w:color w:val="auto"/>
              </w:rPr>
            </w:pPr>
            <w:r>
              <w:rPr>
                <w:rFonts w:ascii="Times New Roman" w:cs="Times New Roman" w:eastAsia="Times New Roman" w:hAnsi="Times New Roman"/>
                <w:sz w:val="8"/>
                <w:szCs w:val="8"/>
                <w:color w:val="auto"/>
              </w:rPr>
              <w:t>of incorporation)</w:t>
            </w:r>
          </w:p>
        </w:tc>
        <w:tc>
          <w:tcPr>
            <w:tcW w:w="4320" w:type="dxa"/>
            <w:vAlign w:val="bottom"/>
          </w:tcPr>
          <w:p>
            <w:pPr>
              <w:jc w:val="center"/>
              <w:ind w:right="132"/>
              <w:spacing w:after="0"/>
              <w:rPr>
                <w:sz w:val="20"/>
                <w:szCs w:val="20"/>
                <w:color w:val="auto"/>
              </w:rPr>
            </w:pPr>
            <w:r>
              <w:rPr>
                <w:rFonts w:ascii="Times New Roman" w:cs="Times New Roman" w:eastAsia="Times New Roman" w:hAnsi="Times New Roman"/>
                <w:sz w:val="8"/>
                <w:szCs w:val="8"/>
                <w:color w:val="auto"/>
              </w:rPr>
              <w:t>File Number)</w:t>
            </w:r>
          </w:p>
        </w:tc>
        <w:tc>
          <w:tcPr>
            <w:tcW w:w="1820" w:type="dxa"/>
            <w:vAlign w:val="bottom"/>
          </w:tcPr>
          <w:p>
            <w:pPr>
              <w:jc w:val="center"/>
              <w:ind w:left="1132"/>
              <w:spacing w:after="0"/>
              <w:rPr>
                <w:sz w:val="20"/>
                <w:szCs w:val="20"/>
                <w:color w:val="auto"/>
              </w:rPr>
            </w:pPr>
            <w:r>
              <w:rPr>
                <w:rFonts w:ascii="Times New Roman" w:cs="Times New Roman" w:eastAsia="Times New Roman" w:hAnsi="Times New Roman"/>
                <w:sz w:val="8"/>
                <w:szCs w:val="8"/>
                <w:color w:val="auto"/>
              </w:rPr>
              <w:t>Identification No.)</w:t>
            </w:r>
          </w:p>
        </w:tc>
      </w:tr>
      <w:tr>
        <w:trPr>
          <w:trHeight w:val="381"/>
        </w:trPr>
        <w:tc>
          <w:tcPr>
            <w:tcW w:w="2360" w:type="dxa"/>
            <w:vAlign w:val="bottom"/>
          </w:tcPr>
          <w:p>
            <w:pPr>
              <w:jc w:val="center"/>
              <w:ind w:right="991"/>
              <w:spacing w:after="0"/>
              <w:rPr>
                <w:sz w:val="20"/>
                <w:szCs w:val="20"/>
                <w:color w:val="auto"/>
              </w:rPr>
            </w:pPr>
            <w:r>
              <w:rPr>
                <w:rFonts w:ascii="Times New Roman" w:cs="Times New Roman" w:eastAsia="Times New Roman" w:hAnsi="Times New Roman"/>
                <w:sz w:val="11"/>
                <w:szCs w:val="11"/>
                <w:b w:val="1"/>
                <w:bCs w:val="1"/>
                <w:color w:val="auto"/>
              </w:rPr>
              <w:t>599 S. Rivershore Lane</w:t>
            </w:r>
          </w:p>
        </w:tc>
        <w:tc>
          <w:tcPr>
            <w:tcW w:w="4320" w:type="dxa"/>
            <w:vAlign w:val="bottom"/>
          </w:tcPr>
          <w:p>
            <w:pPr>
              <w:spacing w:after="0"/>
              <w:rPr>
                <w:sz w:val="24"/>
                <w:szCs w:val="24"/>
                <w:color w:val="auto"/>
              </w:rPr>
            </w:pPr>
          </w:p>
        </w:tc>
        <w:tc>
          <w:tcPr>
            <w:tcW w:w="18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83616</w:t>
            </w:r>
          </w:p>
        </w:tc>
      </w:tr>
      <w:tr>
        <w:trPr>
          <w:trHeight w:val="170"/>
        </w:trPr>
        <w:tc>
          <w:tcPr>
            <w:tcW w:w="2360" w:type="dxa"/>
            <w:vAlign w:val="bottom"/>
          </w:tcPr>
          <w:p>
            <w:pPr>
              <w:jc w:val="center"/>
              <w:ind w:right="971"/>
              <w:spacing w:after="0"/>
              <w:rPr>
                <w:sz w:val="20"/>
                <w:szCs w:val="20"/>
                <w:color w:val="auto"/>
              </w:rPr>
            </w:pPr>
            <w:r>
              <w:rPr>
                <w:rFonts w:ascii="Times New Roman" w:cs="Times New Roman" w:eastAsia="Times New Roman" w:hAnsi="Times New Roman"/>
                <w:sz w:val="11"/>
                <w:szCs w:val="11"/>
                <w:b w:val="1"/>
                <w:bCs w:val="1"/>
                <w:color w:val="auto"/>
              </w:rPr>
              <w:t>Eagle, Idaho</w:t>
            </w:r>
          </w:p>
        </w:tc>
        <w:tc>
          <w:tcPr>
            <w:tcW w:w="4320" w:type="dxa"/>
            <w:vAlign w:val="bottom"/>
          </w:tcPr>
          <w:p>
            <w:pPr>
              <w:spacing w:after="0"/>
              <w:rPr>
                <w:sz w:val="14"/>
                <w:szCs w:val="14"/>
                <w:color w:val="auto"/>
              </w:rPr>
            </w:pPr>
          </w:p>
        </w:tc>
        <w:tc>
          <w:tcPr>
            <w:tcW w:w="1820" w:type="dxa"/>
            <w:vAlign w:val="bottom"/>
          </w:tcPr>
          <w:p>
            <w:pPr>
              <w:jc w:val="center"/>
              <w:ind w:left="1152"/>
              <w:spacing w:after="0"/>
              <w:rPr>
                <w:sz w:val="20"/>
                <w:szCs w:val="20"/>
                <w:color w:val="auto"/>
              </w:rPr>
            </w:pPr>
            <w:r>
              <w:rPr>
                <w:rFonts w:ascii="Times New Roman" w:cs="Times New Roman" w:eastAsia="Times New Roman" w:hAnsi="Times New Roman"/>
                <w:sz w:val="8"/>
                <w:szCs w:val="8"/>
                <w:color w:val="auto"/>
              </w:rPr>
              <w:t>(Zip Code)</w:t>
            </w:r>
          </w:p>
        </w:tc>
      </w:tr>
      <w:tr>
        <w:trPr>
          <w:trHeight w:val="139"/>
        </w:trPr>
        <w:tc>
          <w:tcPr>
            <w:tcW w:w="2360" w:type="dxa"/>
            <w:vAlign w:val="bottom"/>
          </w:tcPr>
          <w:p>
            <w:pPr>
              <w:jc w:val="center"/>
              <w:ind w:right="971"/>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43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69"/>
        </w:trPr>
        <w:tc>
          <w:tcPr>
            <w:tcW w:w="2360" w:type="dxa"/>
            <w:vAlign w:val="bottom"/>
          </w:tcPr>
          <w:p>
            <w:pPr>
              <w:spacing w:after="0"/>
              <w:rPr>
                <w:sz w:val="14"/>
                <w:szCs w:val="14"/>
                <w:color w:val="auto"/>
              </w:rPr>
            </w:pPr>
          </w:p>
        </w:tc>
        <w:tc>
          <w:tcPr>
            <w:tcW w:w="4320" w:type="dxa"/>
            <w:vAlign w:val="bottom"/>
          </w:tcPr>
          <w:p>
            <w:pPr>
              <w:jc w:val="right"/>
              <w:ind w:right="1852"/>
              <w:spacing w:after="0"/>
              <w:rPr>
                <w:sz w:val="20"/>
                <w:szCs w:val="20"/>
                <w:color w:val="auto"/>
              </w:rPr>
            </w:pPr>
            <w:r>
              <w:rPr>
                <w:rFonts w:ascii="Times New Roman" w:cs="Times New Roman" w:eastAsia="Times New Roman" w:hAnsi="Times New Roman"/>
                <w:sz w:val="11"/>
                <w:szCs w:val="11"/>
                <w:b w:val="1"/>
                <w:bCs w:val="1"/>
                <w:color w:val="auto"/>
              </w:rPr>
              <w:t>(208) 938-1047</w:t>
            </w:r>
          </w:p>
        </w:tc>
        <w:tc>
          <w:tcPr>
            <w:tcW w:w="1820" w:type="dxa"/>
            <w:vAlign w:val="bottom"/>
          </w:tcPr>
          <w:p>
            <w:pPr>
              <w:spacing w:after="0"/>
              <w:rPr>
                <w:sz w:val="14"/>
                <w:szCs w:val="14"/>
                <w:color w:val="auto"/>
              </w:rPr>
            </w:pPr>
          </w:p>
        </w:tc>
      </w:tr>
      <w:tr>
        <w:trPr>
          <w:trHeight w:val="139"/>
        </w:trPr>
        <w:tc>
          <w:tcPr>
            <w:tcW w:w="2360" w:type="dxa"/>
            <w:vAlign w:val="bottom"/>
          </w:tcPr>
          <w:p>
            <w:pPr>
              <w:spacing w:after="0"/>
              <w:rPr>
                <w:sz w:val="12"/>
                <w:szCs w:val="12"/>
                <w:color w:val="auto"/>
              </w:rPr>
            </w:pPr>
          </w:p>
        </w:tc>
        <w:tc>
          <w:tcPr>
            <w:tcW w:w="4320" w:type="dxa"/>
            <w:vAlign w:val="bottom"/>
          </w:tcPr>
          <w:p>
            <w:pPr>
              <w:jc w:val="center"/>
              <w:ind w:right="132"/>
              <w:spacing w:after="0"/>
              <w:rPr>
                <w:sz w:val="20"/>
                <w:szCs w:val="20"/>
                <w:color w:val="auto"/>
              </w:rPr>
            </w:pPr>
            <w:r>
              <w:rPr>
                <w:rFonts w:ascii="Times New Roman" w:cs="Times New Roman" w:eastAsia="Times New Roman" w:hAnsi="Times New Roman"/>
                <w:sz w:val="8"/>
                <w:szCs w:val="8"/>
                <w:color w:val="auto"/>
              </w:rPr>
              <w:t>(Registrant’s telephone number, including area code)</w:t>
            </w:r>
          </w:p>
        </w:tc>
        <w:tc>
          <w:tcPr>
            <w:tcW w:w="1820" w:type="dxa"/>
            <w:vAlign w:val="bottom"/>
          </w:tcPr>
          <w:p>
            <w:pPr>
              <w:spacing w:after="0"/>
              <w:rPr>
                <w:sz w:val="12"/>
                <w:szCs w:val="12"/>
                <w:color w:val="auto"/>
              </w:rPr>
            </w:pPr>
          </w:p>
        </w:tc>
      </w:tr>
      <w:tr>
        <w:trPr>
          <w:trHeight w:val="169"/>
        </w:trPr>
        <w:tc>
          <w:tcPr>
            <w:tcW w:w="2360" w:type="dxa"/>
            <w:vAlign w:val="bottom"/>
          </w:tcPr>
          <w:p>
            <w:pPr>
              <w:spacing w:after="0"/>
              <w:rPr>
                <w:sz w:val="14"/>
                <w:szCs w:val="14"/>
                <w:color w:val="auto"/>
              </w:rPr>
            </w:pPr>
          </w:p>
        </w:tc>
        <w:tc>
          <w:tcPr>
            <w:tcW w:w="432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1820" w:type="dxa"/>
            <w:vAlign w:val="bottom"/>
          </w:tcPr>
          <w:p>
            <w:pPr>
              <w:spacing w:after="0"/>
              <w:rPr>
                <w:sz w:val="14"/>
                <w:szCs w:val="14"/>
                <w:color w:val="auto"/>
              </w:rPr>
            </w:pPr>
          </w:p>
        </w:tc>
      </w:tr>
      <w:tr>
        <w:trPr>
          <w:trHeight w:val="139"/>
        </w:trPr>
        <w:tc>
          <w:tcPr>
            <w:tcW w:w="2360" w:type="dxa"/>
            <w:vAlign w:val="bottom"/>
          </w:tcPr>
          <w:p>
            <w:pPr>
              <w:spacing w:after="0"/>
              <w:rPr>
                <w:sz w:val="12"/>
                <w:szCs w:val="12"/>
                <w:color w:val="auto"/>
              </w:rPr>
            </w:pPr>
          </w:p>
        </w:tc>
        <w:tc>
          <w:tcPr>
            <w:tcW w:w="4320" w:type="dxa"/>
            <w:vAlign w:val="bottom"/>
          </w:tcPr>
          <w:p>
            <w:pPr>
              <w:jc w:val="center"/>
              <w:ind w:right="132"/>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tc>
        <w:tc>
          <w:tcPr>
            <w:tcW w:w="1820" w:type="dxa"/>
            <w:vAlign w:val="bottom"/>
          </w:tcPr>
          <w:p>
            <w:pPr>
              <w:spacing w:after="0"/>
              <w:rPr>
                <w:sz w:val="12"/>
                <w:szCs w:val="12"/>
                <w:color w:val="auto"/>
              </w:rPr>
            </w:pPr>
          </w:p>
        </w:tc>
      </w:tr>
    </w:tbl>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360" w:hanging="341"/>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26" w:lineRule="exact"/>
        <w:rPr>
          <w:rFonts w:ascii="Wingdings" w:cs="Wingdings" w:eastAsia="Wingdings" w:hAnsi="Wingdings"/>
          <w:sz w:val="13"/>
          <w:szCs w:val="13"/>
          <w:b w:val="1"/>
          <w:bCs w:val="1"/>
          <w:color w:val="auto"/>
        </w:rPr>
      </w:pPr>
    </w:p>
    <w:p>
      <w:pPr>
        <w:ind w:left="360" w:hanging="341"/>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36" w:lineRule="exact"/>
        <w:rPr>
          <w:rFonts w:ascii="Wingdings" w:cs="Wingdings" w:eastAsia="Wingdings" w:hAnsi="Wingdings"/>
          <w:sz w:val="13"/>
          <w:szCs w:val="13"/>
          <w:b w:val="1"/>
          <w:bCs w:val="1"/>
          <w:color w:val="auto"/>
        </w:rPr>
      </w:pPr>
    </w:p>
    <w:p>
      <w:pPr>
        <w:ind w:left="360" w:hanging="341"/>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36" w:lineRule="exact"/>
        <w:rPr>
          <w:rFonts w:ascii="Wingdings" w:cs="Wingdings" w:eastAsia="Wingdings" w:hAnsi="Wingdings"/>
          <w:sz w:val="13"/>
          <w:szCs w:val="13"/>
          <w:b w:val="1"/>
          <w:bCs w:val="1"/>
          <w:color w:val="auto"/>
        </w:rPr>
      </w:pPr>
    </w:p>
    <w:p>
      <w:pPr>
        <w:ind w:right="5160" w:firstLine="19"/>
        <w:spacing w:after="0" w:line="400" w:lineRule="auto"/>
        <w:tabs>
          <w:tab w:leader="none" w:pos="354"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4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10"/>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4740" w:type="dxa"/>
            <w:vAlign w:val="bottom"/>
            <w:tcBorders>
              <w:bottom w:val="single" w:sz="8" w:color="auto"/>
              <w:right w:val="single" w:sz="8" w:color="auto"/>
            </w:tcBorders>
          </w:tcPr>
          <w:p>
            <w:pPr>
              <w:spacing w:after="0"/>
              <w:rPr>
                <w:sz w:val="9"/>
                <w:szCs w:val="9"/>
                <w:color w:val="auto"/>
              </w:rPr>
            </w:pPr>
          </w:p>
        </w:tc>
      </w:tr>
      <w:tr>
        <w:trPr>
          <w:trHeight w:val="156"/>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$1.00 par value</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LW</w:t>
            </w:r>
          </w:p>
        </w:tc>
        <w:tc>
          <w:tcPr>
            <w:tcW w:w="4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110"/>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4740" w:type="dxa"/>
            <w:vAlign w:val="bottom"/>
            <w:tcBorders>
              <w:bottom w:val="single" w:sz="8" w:color="auto"/>
              <w:right w:val="single" w:sz="8" w:color="auto"/>
            </w:tcBorders>
          </w:tcPr>
          <w:p>
            <w:pPr>
              <w:spacing w:after="0"/>
              <w:rPr>
                <w:sz w:val="9"/>
                <w:szCs w:val="9"/>
                <w:color w:val="auto"/>
              </w:rPr>
            </w:pPr>
          </w:p>
        </w:tc>
      </w:tr>
    </w:tbl>
    <w:p>
      <w:pPr>
        <w:spacing w:after="0" w:line="191" w:lineRule="exact"/>
        <w:rPr>
          <w:sz w:val="24"/>
          <w:szCs w:val="24"/>
          <w:color w:val="auto"/>
        </w:rPr>
      </w:pPr>
    </w:p>
    <w:p>
      <w:pPr>
        <w:ind w:right="38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spacing w:after="0"/>
        <w:tabs>
          <w:tab w:leader="none" w:pos="1540" w:val="left"/>
        </w:tabs>
        <w:rPr>
          <w:sz w:val="20"/>
          <w:szCs w:val="20"/>
          <w:color w:val="auto"/>
        </w:rPr>
      </w:pPr>
      <w:r>
        <w:rPr>
          <w:rFonts w:ascii="Times New Roman" w:cs="Times New Roman" w:eastAsia="Times New Roman" w:hAnsi="Times New Roman"/>
          <w:sz w:val="13"/>
          <w:szCs w:val="13"/>
          <w:color w:val="auto"/>
        </w:rPr>
        <w:t>Emerging growth company</w:t>
      </w:r>
      <w:r>
        <w:rPr>
          <w:sz w:val="20"/>
          <w:szCs w:val="20"/>
          <w:color w:val="auto"/>
        </w:rPr>
        <w:tab/>
      </w:r>
      <w:r>
        <w:rPr>
          <w:rFonts w:ascii="Wingdings" w:cs="Wingdings" w:eastAsia="Wingdings" w:hAnsi="Wingdings"/>
          <w:sz w:val="11"/>
          <w:szCs w:val="11"/>
          <w:b w:val="1"/>
          <w:bCs w:val="1"/>
          <w:color w:val="auto"/>
        </w:rPr>
        <w:t>o</w:t>
      </w:r>
    </w:p>
    <w:p>
      <w:pPr>
        <w:spacing w:after="0" w:line="137" w:lineRule="exact"/>
        <w:rPr>
          <w:sz w:val="24"/>
          <w:szCs w:val="24"/>
          <w:color w:val="auto"/>
        </w:rPr>
      </w:pPr>
    </w:p>
    <w:p>
      <w:pPr>
        <w:ind w:right="16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634365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998"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27"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4"/>
          <w:szCs w:val="14"/>
          <w:color w:val="auto"/>
        </w:rPr>
        <w:t>On May 19, 2026, Ulanqab Lamb Weston Food Co., Ltd. (“LW Ulanqab”), a limited liability company incorporated under the laws of the People’s Republic of China (the “PRC”) and a wholly owned subsidiary of Lamb Weston Holdings, Inc. (the “Company”), entered into a Facility Agreement (the “New Facility Agreement”) with the financial institutions party thereto and HSBC Bank (China) Company Limited, Shanghai Branch, as the facility agent (the “Facility Agent”), providing for an RMB 700,000,000 (approximately USD 102,940,000 equivalent as of May 19, 2026</w:t>
      </w:r>
    </w:p>
    <w:p>
      <w:pPr>
        <w:spacing w:after="0" w:line="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based on prevailing exchange rates on that date) term loan facility (the “Term Loan Facility”). The Term Loan Facility will be used for refinancing existing indebtedness under the 2022 Facility Agreement referred to below and matures on May 22, 2031.</w:t>
      </w:r>
    </w:p>
    <w:p>
      <w:pPr>
        <w:spacing w:after="0" w:line="61" w:lineRule="exact"/>
        <w:rPr>
          <w:sz w:val="20"/>
          <w:szCs w:val="20"/>
          <w:color w:val="auto"/>
        </w:rPr>
      </w:pPr>
    </w:p>
    <w:p>
      <w:pPr>
        <w:ind w:right="40" w:firstLine="509"/>
        <w:spacing w:after="0" w:line="276" w:lineRule="auto"/>
        <w:rPr>
          <w:sz w:val="20"/>
          <w:szCs w:val="20"/>
          <w:color w:val="auto"/>
        </w:rPr>
      </w:pPr>
      <w:r>
        <w:rPr>
          <w:rFonts w:ascii="Times New Roman" w:cs="Times New Roman" w:eastAsia="Times New Roman" w:hAnsi="Times New Roman"/>
          <w:sz w:val="14"/>
          <w:szCs w:val="14"/>
          <w:color w:val="auto"/>
        </w:rPr>
        <w:t>Borrowings under the New Facility Agreement bear interest at the prime rate for five-year loans published by the PRC National Interbank Funding Center plus 0.30%. The Term Loan Facility requires amortization repayments, commencing on the date that is 6 months after the initial borrowing, and in bi-annual installments thereafter, with the remaining principal balance payable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maturity date (in each case, subject to adjustment for prepayments). LW Ulanqab’s payment obligations under the Term Loan Facility are unconditionally guaranteed by the Company.</w:t>
      </w:r>
    </w:p>
    <w:p>
      <w:pPr>
        <w:spacing w:after="0" w:line="15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Term Loan Facility contains covenants that are standard for credit facilities originated in the PRC, including, among others, covenants with regards to mergers and consolidations and asset sales, and is subject to acceleration upon various events of default, including, among others, the failure to observe certain stated covenants under the Term Loan Facility, the acceleration of the Company’s obligations under its senior secured credit facility with Bank of America, N.A. and certain bankruptcy related events.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2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A copy of the New Facility Agreement is filed as Exhibit 10.1 to this Current Report on Form 8-K and is incorporated herein by reference. The description above is a summary of the New Facility Agreement, does not purport to be complete, and is qualified in its entirety by the complete text of the New Facility Agreement.</w:t>
      </w:r>
    </w:p>
    <w:p>
      <w:pPr>
        <w:spacing w:after="0" w:line="61"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Certain of the agents and lenders and their affiliates perform various financial advisory, investment banking and commercial banking services from time to time for the Company and its affiliates for which they have received customary fees and compensation for these transactions and may in the future receive customary fees and compensation.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1.02 Termination of a Material Definitive Agreement.</w:t>
      </w:r>
    </w:p>
    <w:p>
      <w:pPr>
        <w:spacing w:after="0" w:line="12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New Facility Agreement replaces LW Ulanqab’s existing Facility Agreement, dated as of February 18, 2022 (the “2022 Facility Agreement”), among LW Ulanqab, the financial institutions party thereto and HSBC Bank (China) Company Limited, Shanghai Branch, as the facility agent. On May 22, 2026, the 2022 Facility was repaid and terminated in connection with LW Ulanqab’s borrowing under the Term Loan Facility. A summary of the material terms of the 2022 Facility Agreement is included in the Current Report on Form 8-K filed by the Company on February 22, 2022, which summary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2.03 Creation of a Direct Financial Obligation or an Obligation under an Off-Balance Sheet Arrangement of a Registrant.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set forth above in Item 1.01 is hereby incorporated by reference into this Item 2.03.</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08" w:right="41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1"/>
        </w:trPr>
        <w:tc>
          <w:tcPr>
            <w:tcW w:w="116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0E32E1"/>
              </w:rPr>
              <w:t>10.</w:t>
            </w:r>
            <w:r>
              <w:rPr>
                <w:rFonts w:ascii="Times New Roman" w:cs="Times New Roman" w:eastAsia="Times New Roman" w:hAnsi="Times New Roman"/>
                <w:sz w:val="14"/>
                <w:szCs w:val="14"/>
                <w:u w:val="single" w:color="auto"/>
                <w:color w:val="0E32E1"/>
              </w:rPr>
              <w:t>1</w:t>
            </w:r>
          </w:p>
        </w:tc>
        <w:tc>
          <w:tcPr>
            <w:tcW w:w="1010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color w:val="0000FF"/>
              </w:rPr>
              <w:t>Facility Agreement, dated as of May 19, 2026, among Ulanqab Lamb Weston Food Co., Ltd., the financial institutions party thereto and HSBC Bank (China) Company Limited,</w:t>
            </w:r>
          </w:p>
        </w:tc>
      </w:tr>
      <w:tr>
        <w:trPr>
          <w:trHeight w:val="149"/>
        </w:trPr>
        <w:tc>
          <w:tcPr>
            <w:tcW w:w="240" w:type="dxa"/>
            <w:vAlign w:val="bottom"/>
            <w:tcBorders>
              <w:top w:val="single" w:sz="8" w:color="0E32E1"/>
            </w:tcBorders>
          </w:tcPr>
          <w:p>
            <w:pPr>
              <w:spacing w:after="0"/>
              <w:rPr>
                <w:sz w:val="12"/>
                <w:szCs w:val="12"/>
                <w:color w:val="auto"/>
              </w:rPr>
            </w:pPr>
          </w:p>
        </w:tc>
        <w:tc>
          <w:tcPr>
            <w:tcW w:w="920" w:type="dxa"/>
            <w:vAlign w:val="bottom"/>
          </w:tcPr>
          <w:p>
            <w:pPr>
              <w:spacing w:after="0"/>
              <w:rPr>
                <w:sz w:val="12"/>
                <w:szCs w:val="12"/>
                <w:color w:val="auto"/>
              </w:rPr>
            </w:pPr>
          </w:p>
        </w:tc>
        <w:tc>
          <w:tcPr>
            <w:tcW w:w="10080" w:type="dxa"/>
            <w:vAlign w:val="bottom"/>
            <w:tcBorders>
              <w:top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Shanghai Branch, as the facility agent</w:t>
            </w:r>
          </w:p>
        </w:tc>
        <w:tc>
          <w:tcPr>
            <w:tcW w:w="20" w:type="dxa"/>
            <w:vAlign w:val="bottom"/>
          </w:tcPr>
          <w:p>
            <w:pPr>
              <w:spacing w:after="0"/>
              <w:rPr>
                <w:sz w:val="12"/>
                <w:szCs w:val="12"/>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ind w:left="1160" w:hanging="1141"/>
        <w:spacing w:after="0"/>
        <w:tabs>
          <w:tab w:leader="none" w:pos="1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(cover page XBRL tags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360" w:lineRule="exact"/>
        <w:rPr>
          <w:rFonts w:ascii="Times New Roman" w:cs="Times New Roman" w:eastAsia="Times New Roman" w:hAnsi="Times New Roman"/>
          <w:sz w:val="14"/>
          <w:szCs w:val="14"/>
          <w:color w:val="auto"/>
        </w:rPr>
      </w:pPr>
    </w:p>
    <w:p>
      <w:pPr>
        <w:ind w:left="5600" w:hanging="74"/>
        <w:spacing w:after="0"/>
        <w:tabs>
          <w:tab w:leader="none" w:pos="560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6"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LAMB WESTON HOLDINGS, INC.</w:t>
      </w:r>
    </w:p>
    <w:p>
      <w:pPr>
        <w:spacing w:after="0" w:line="382" w:lineRule="exact"/>
        <w:rPr>
          <w:sz w:val="20"/>
          <w:szCs w:val="20"/>
          <w:color w:val="auto"/>
        </w:rPr>
      </w:pPr>
    </w:p>
    <w:tbl>
      <w:tblPr>
        <w:tblLayout w:type="fixed"/>
        <w:tblInd w:w="602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Eryk J. Spytek</w:t>
            </w:r>
          </w:p>
        </w:tc>
      </w:tr>
      <w:tr>
        <w:trPr>
          <w:trHeight w:val="187"/>
        </w:trPr>
        <w:tc>
          <w:tcPr>
            <w:tcW w:w="800" w:type="dxa"/>
            <w:vAlign w:val="bottom"/>
          </w:tcPr>
          <w:p>
            <w:pPr>
              <w:spacing w:after="0"/>
              <w:rPr>
                <w:sz w:val="16"/>
                <w:szCs w:val="16"/>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Eryk J. Spytek</w:t>
            </w:r>
          </w:p>
        </w:tc>
      </w:tr>
      <w:tr>
        <w:trPr>
          <w:trHeight w:val="202"/>
        </w:trPr>
        <w:tc>
          <w:tcPr>
            <w:tcW w:w="8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 and Chief Compliance Officer</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26, 2026</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11260"/>
          </w:cols>
          <w:pgMar w:left="320" w:top="759" w:right="31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2026-05-26T10:57:06Z</dcterms:created>
  <dcterms:modified xsi:type="dcterms:W3CDTF">2026-05-26T10:57:06Z</dcterms:modified>
</cp:coreProperties>
</file>