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27"/>
        </w:rPr>
      </w:pPr>
      <w:r>
        <w:rPr>
          <w:rFonts w:ascii="Times New Roman;serif" w:hAnsi="Times New Roman;serif"/>
          <w:b/>
          <w:color w:val="000000"/>
          <w:sz w:val="27"/>
        </w:rPr>
        <w:t>CURRENT REPORT</w:t>
      </w:r>
    </w:p>
    <w:p>
      <w:pPr>
        <w:pStyle w:val="TextBody"/>
        <w:bidi w:val="0"/>
        <w:spacing w:lineRule="auto" w:line="276" w:before="0" w:after="0"/>
        <w:jc w:val="center"/>
        <w:rPr>
          <w:rFonts w:ascii="Times New Roman;serif" w:hAnsi="Times New Roman;serif"/>
          <w:b/>
          <w:color w:val="000000"/>
          <w:sz w:val="27"/>
        </w:rPr>
      </w:pPr>
      <w:r>
        <w:rPr>
          <w:rFonts w:ascii="Times New Roman;serif" w:hAnsi="Times New Roman;serif"/>
          <w:b/>
          <w:color w:val="000000"/>
          <w:sz w:val="27"/>
        </w:rPr>
        <w:t>Pursuant to Section 13 or 15(d) of The Securities Exchange Act of 1934</w:t>
      </w:r>
    </w:p>
    <w:p>
      <w:pPr>
        <w:pStyle w:val="TextBody"/>
        <w:bidi w:val="0"/>
        <w:spacing w:lineRule="auto" w:line="276" w:before="20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16, 2026</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48"/>
        </w:rPr>
      </w:pPr>
      <w:r>
        <w:rPr>
          <w:rFonts w:ascii="Times New Roman;serif" w:hAnsi="Times New Roman;serif"/>
          <w:b/>
          <w:color w:val="000000"/>
          <w:sz w:val="48"/>
        </w:rPr>
        <w:t>Lamb Weston Holdings, Inc.</w:t>
      </w:r>
    </w:p>
    <w:p>
      <w:pPr>
        <w:pStyle w:val="TextBody"/>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6330" w:type="dxa"/>
        <w:jc w:val="left"/>
        <w:tblInd w:w="0" w:type="dxa"/>
        <w:tblLayout w:type="fixed"/>
        <w:tblCellMar>
          <w:top w:w="28" w:type="dxa"/>
          <w:left w:w="28" w:type="dxa"/>
          <w:bottom w:w="28" w:type="dxa"/>
          <w:right w:w="28" w:type="dxa"/>
        </w:tblCellMar>
      </w:tblPr>
      <w:tblGrid>
        <w:gridCol w:w="762"/>
        <w:gridCol w:w="668"/>
        <w:gridCol w:w="670"/>
        <w:gridCol w:w="1048"/>
        <w:gridCol w:w="1048"/>
        <w:gridCol w:w="1069"/>
        <w:gridCol w:w="311"/>
        <w:gridCol w:w="311"/>
        <w:gridCol w:w="443"/>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1-37830</w:t>
            </w:r>
          </w:p>
        </w:tc>
        <w:tc>
          <w:tcPr>
            <w:tcW w:w="1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61-1797411</w:t>
            </w:r>
          </w:p>
        </w:tc>
      </w:tr>
      <w:tr>
        <w:trPr/>
        <w:tc>
          <w:tcPr>
            <w:tcW w:w="21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(State or other jurisdiction</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of incorporation)</w:t>
            </w:r>
          </w:p>
        </w:tc>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(Commission</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File Number)</w:t>
            </w:r>
          </w:p>
        </w:tc>
        <w:tc>
          <w:tcPr>
            <w:tcW w:w="1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(I.R.S. Employer</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Identification No.)</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599 S. Rivershore Lane</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83616</w:t>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Eagle, Idaho</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(Zip Code)</w:t>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(Address of principal executive offices)</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(208) 938-1047</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(Registrant’s telephone number, including area code)</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(Former name or former address, if changed since last report)</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6896" w:type="dxa"/>
        <w:jc w:val="left"/>
        <w:tblInd w:w="0" w:type="dxa"/>
        <w:tblLayout w:type="fixed"/>
        <w:tblCellMar>
          <w:top w:w="28" w:type="dxa"/>
          <w:left w:w="28" w:type="dxa"/>
          <w:bottom w:w="28" w:type="dxa"/>
          <w:right w:w="28" w:type="dxa"/>
        </w:tblCellMar>
      </w:tblPr>
      <w:tblGrid>
        <w:gridCol w:w="124"/>
        <w:gridCol w:w="109"/>
        <w:gridCol w:w="109"/>
        <w:gridCol w:w="1917"/>
        <w:gridCol w:w="1917"/>
        <w:gridCol w:w="2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Written communications pursuant to Rule 425 under the Securities Act (17 CFR 230.425) </w:t>
            </w:r>
          </w:p>
        </w:tc>
      </w:tr>
    </w:tbl>
    <w:tbl>
      <w:tblPr>
        <w:tblW w:w="6896" w:type="dxa"/>
        <w:jc w:val="left"/>
        <w:tblInd w:w="0" w:type="dxa"/>
        <w:tblLayout w:type="fixed"/>
        <w:tblCellMar>
          <w:top w:w="28" w:type="dxa"/>
          <w:left w:w="28" w:type="dxa"/>
          <w:bottom w:w="28" w:type="dxa"/>
          <w:right w:w="28" w:type="dxa"/>
        </w:tblCellMar>
      </w:tblPr>
      <w:tblGrid>
        <w:gridCol w:w="124"/>
        <w:gridCol w:w="109"/>
        <w:gridCol w:w="109"/>
        <w:gridCol w:w="1917"/>
        <w:gridCol w:w="1917"/>
        <w:gridCol w:w="2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Soliciting material pursuant to Rule 14a-12 under the Exchange Act (17 CFR 240.14a-12) </w:t>
            </w:r>
          </w:p>
        </w:tc>
      </w:tr>
    </w:tbl>
    <w:tbl>
      <w:tblPr>
        <w:tblW w:w="8486" w:type="dxa"/>
        <w:jc w:val="left"/>
        <w:tblInd w:w="0" w:type="dxa"/>
        <w:tblLayout w:type="fixed"/>
        <w:tblCellMar>
          <w:top w:w="28" w:type="dxa"/>
          <w:left w:w="28" w:type="dxa"/>
          <w:bottom w:w="28" w:type="dxa"/>
          <w:right w:w="28" w:type="dxa"/>
        </w:tblCellMar>
      </w:tblPr>
      <w:tblGrid>
        <w:gridCol w:w="124"/>
        <w:gridCol w:w="109"/>
        <w:gridCol w:w="109"/>
        <w:gridCol w:w="2381"/>
        <w:gridCol w:w="2381"/>
        <w:gridCol w:w="33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8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Pre-commencement communications pursuant to Rule 14d-2(b) under the Exchange Act (17 CFR 240.14d-2(b)) </w:t>
            </w:r>
          </w:p>
        </w:tc>
      </w:tr>
    </w:tbl>
    <w:tbl>
      <w:tblPr>
        <w:tblW w:w="8427" w:type="dxa"/>
        <w:jc w:val="left"/>
        <w:tblInd w:w="0" w:type="dxa"/>
        <w:tblLayout w:type="fixed"/>
        <w:tblCellMar>
          <w:top w:w="28" w:type="dxa"/>
          <w:left w:w="28" w:type="dxa"/>
          <w:bottom w:w="28" w:type="dxa"/>
          <w:right w:w="28" w:type="dxa"/>
        </w:tblCellMar>
      </w:tblPr>
      <w:tblGrid>
        <w:gridCol w:w="124"/>
        <w:gridCol w:w="109"/>
        <w:gridCol w:w="109"/>
        <w:gridCol w:w="2364"/>
        <w:gridCol w:w="2364"/>
        <w:gridCol w:w="3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8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Pre-commencement communications pursuant to Rule 13e-4(c) under the Exchange Act (17 CFR 240.13e-4(c)) </w:t>
            </w:r>
          </w:p>
        </w:tc>
      </w:tr>
    </w:tbl>
    <w:p>
      <w:pPr>
        <w:pStyle w:val="TextBody"/>
        <w:bidi w:val="0"/>
        <w:spacing w:lineRule="auto" w:line="276" w:before="0" w:after="2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37" w:type="dxa"/>
        <w:jc w:val="left"/>
        <w:tblInd w:w="0" w:type="dxa"/>
        <w:tblLayout w:type="fixed"/>
        <w:tblCellMar>
          <w:top w:w="28" w:type="dxa"/>
          <w:left w:w="28" w:type="dxa"/>
          <w:bottom w:w="28" w:type="dxa"/>
          <w:right w:w="28" w:type="dxa"/>
        </w:tblCellMar>
      </w:tblPr>
      <w:tblGrid>
        <w:gridCol w:w="870"/>
        <w:gridCol w:w="767"/>
        <w:gridCol w:w="777"/>
        <w:gridCol w:w="484"/>
        <w:gridCol w:w="484"/>
        <w:gridCol w:w="486"/>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LW</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120"/>
        <w:ind w:left="0" w:right="0" w:hanging="360"/>
        <w:jc w:val="left"/>
        <w:rPr/>
      </w:pPr>
      <w:r>
        <w:rPr>
          <w:rFonts w:ascii="Times New Roman;serif" w:hAnsi="Times New Roman;serif"/>
          <w:b w:val="false"/>
          <w:color w:val="000000"/>
          <w:sz w:val="18"/>
        </w:rPr>
        <w:t>Emerging growth company     </w:t>
      </w:r>
      <w:r>
        <w:rPr>
          <w:rFonts w:ascii="Wingdings;sans-serif" w:hAnsi="Wingdings;sans-serif"/>
          <w:b w:val="false"/>
          <w:color w:val="000000"/>
          <w:sz w:val="18"/>
        </w:rPr>
        <w:t>o</w:t>
      </w:r>
    </w:p>
    <w:p>
      <w:pPr>
        <w:pStyle w:val="TextBody"/>
        <w:bidi w:val="0"/>
        <w:spacing w:lineRule="auto" w:line="276" w:before="200" w:after="1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5.07. Submission of Matters to a Vote of Security Holders.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16, 2026, Lamb Weston Holdings, Inc. held our annual meeting of stockholders in Eagle, Idaho. A total of 115,548,380 shares of our common stock, or approximately 84.0% of our outstanding shares of common stock, were represented in person or by proxy at the annual meeting. The final voting results for each of the matters submitted to a stockholder vote at the annual meeting are set forth below: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1.Our stockholders elected eleven directors to each serve a one-year term on our Board of Directors until our 2027 annual meeting of stockholders or until his or her successor has been duly chosen and qualified, based on the following voting results:</w:t>
      </w:r>
    </w:p>
    <w:tbl>
      <w:tblPr>
        <w:tblW w:w="8635" w:type="dxa"/>
        <w:jc w:val="left"/>
        <w:tblInd w:w="0" w:type="dxa"/>
        <w:tblLayout w:type="fixed"/>
        <w:tblCellMar>
          <w:top w:w="28" w:type="dxa"/>
          <w:left w:w="28" w:type="dxa"/>
          <w:bottom w:w="28" w:type="dxa"/>
          <w:right w:w="28" w:type="dxa"/>
        </w:tblCellMar>
      </w:tblPr>
      <w:tblGrid>
        <w:gridCol w:w="124"/>
        <w:gridCol w:w="109"/>
        <w:gridCol w:w="634"/>
        <w:gridCol w:w="634"/>
        <w:gridCol w:w="636"/>
        <w:gridCol w:w="109"/>
        <w:gridCol w:w="109"/>
        <w:gridCol w:w="109"/>
        <w:gridCol w:w="592"/>
        <w:gridCol w:w="594"/>
        <w:gridCol w:w="141"/>
        <w:gridCol w:w="109"/>
        <w:gridCol w:w="109"/>
        <w:gridCol w:w="109"/>
        <w:gridCol w:w="488"/>
        <w:gridCol w:w="488"/>
        <w:gridCol w:w="251"/>
        <w:gridCol w:w="109"/>
        <w:gridCol w:w="109"/>
        <w:gridCol w:w="109"/>
        <w:gridCol w:w="413"/>
        <w:gridCol w:w="413"/>
        <w:gridCol w:w="251"/>
        <w:gridCol w:w="109"/>
        <w:gridCol w:w="540"/>
        <w:gridCol w:w="541"/>
        <w:gridCol w:w="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09" w:type="dxa"/>
            <w:tcBorders/>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A. Alford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98,084,764 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3,370,254 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Peter J. Bensen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98,985,321 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2,480,731 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 E.B. Craps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99,520,309 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1,934,726 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André J. Hawaux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100,524,200 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Ruth Kimmelshue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100,308,908 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E. Kurzius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95,489,312 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5,960,946 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R. McLevish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100,707,983 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Hala G. Moddelmog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95,054,442 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6,397,311 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Scott Ostfeld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100,238,136 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Norman Prestage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100,764,308 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100,732,867 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2.Our stockholders approved the advisory proposal for our fiscal 2026 executive compensation, based on the following voting results:</w:t>
      </w:r>
    </w:p>
    <w:p>
      <w:pPr>
        <w:pStyle w:val="TextBody"/>
        <w:bidi w:val="0"/>
        <w:spacing w:before="0" w:after="0"/>
        <w:jc w:val="left"/>
        <w:rPr/>
      </w:pPr>
      <w:r>
        <w:rPr/>
      </w:r>
    </w:p>
    <w:tbl>
      <w:tblPr>
        <w:tblW w:w="6622" w:type="dxa"/>
        <w:jc w:val="left"/>
        <w:tblInd w:w="0" w:type="dxa"/>
        <w:tblLayout w:type="fixed"/>
        <w:tblCellMar>
          <w:top w:w="28" w:type="dxa"/>
          <w:left w:w="28" w:type="dxa"/>
          <w:bottom w:w="28" w:type="dxa"/>
          <w:right w:w="28" w:type="dxa"/>
        </w:tblCellMar>
      </w:tblPr>
      <w:tblGrid>
        <w:gridCol w:w="124"/>
        <w:gridCol w:w="109"/>
        <w:gridCol w:w="540"/>
        <w:gridCol w:w="541"/>
        <w:gridCol w:w="141"/>
        <w:gridCol w:w="109"/>
        <w:gridCol w:w="109"/>
        <w:gridCol w:w="109"/>
        <w:gridCol w:w="540"/>
        <w:gridCol w:w="541"/>
        <w:gridCol w:w="251"/>
        <w:gridCol w:w="109"/>
        <w:gridCol w:w="109"/>
        <w:gridCol w:w="109"/>
        <w:gridCol w:w="413"/>
        <w:gridCol w:w="413"/>
        <w:gridCol w:w="251"/>
        <w:gridCol w:w="109"/>
        <w:gridCol w:w="109"/>
        <w:gridCol w:w="109"/>
        <w:gridCol w:w="540"/>
        <w:gridCol w:w="541"/>
        <w:gridCol w:w="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88,699,819 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12,622,260 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259,368 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3.Our stockholders approved the Lamb Weston Holdings, Inc. 2026 Equity and Incentive Compensation Plan, based on the following voting results:</w:t>
      </w:r>
    </w:p>
    <w:p>
      <w:pPr>
        <w:pStyle w:val="TextBody"/>
        <w:bidi w:val="0"/>
        <w:spacing w:before="0" w:after="0"/>
        <w:jc w:val="left"/>
        <w:rPr/>
      </w:pPr>
      <w:r>
        <w:rPr/>
      </w:r>
    </w:p>
    <w:tbl>
      <w:tblPr>
        <w:tblW w:w="6517" w:type="dxa"/>
        <w:jc w:val="left"/>
        <w:tblInd w:w="0" w:type="dxa"/>
        <w:tblLayout w:type="fixed"/>
        <w:tblCellMar>
          <w:top w:w="28" w:type="dxa"/>
          <w:left w:w="28" w:type="dxa"/>
          <w:bottom w:w="28" w:type="dxa"/>
          <w:right w:w="28" w:type="dxa"/>
        </w:tblCellMar>
      </w:tblPr>
      <w:tblGrid>
        <w:gridCol w:w="124"/>
        <w:gridCol w:w="109"/>
        <w:gridCol w:w="540"/>
        <w:gridCol w:w="541"/>
        <w:gridCol w:w="141"/>
        <w:gridCol w:w="109"/>
        <w:gridCol w:w="109"/>
        <w:gridCol w:w="109"/>
        <w:gridCol w:w="488"/>
        <w:gridCol w:w="488"/>
        <w:gridCol w:w="251"/>
        <w:gridCol w:w="109"/>
        <w:gridCol w:w="109"/>
        <w:gridCol w:w="109"/>
        <w:gridCol w:w="413"/>
        <w:gridCol w:w="413"/>
        <w:gridCol w:w="251"/>
        <w:gridCol w:w="109"/>
        <w:gridCol w:w="109"/>
        <w:gridCol w:w="109"/>
        <w:gridCol w:w="540"/>
        <w:gridCol w:w="541"/>
        <w:gridCol w:w="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94,846,976 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6,503,853 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13,966,933 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    Our stockholders ratified the selection of KPMG LLP as our independent auditors for the fiscal year ending May 30, 2027, based on the following voting results: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r>
    </w:p>
    <w:tbl>
      <w:tblPr>
        <w:tblW w:w="4447" w:type="dxa"/>
        <w:jc w:val="left"/>
        <w:tblInd w:w="0" w:type="dxa"/>
        <w:tblLayout w:type="fixed"/>
        <w:tblCellMar>
          <w:top w:w="28" w:type="dxa"/>
          <w:left w:w="28" w:type="dxa"/>
          <w:bottom w:w="28" w:type="dxa"/>
          <w:right w:w="28" w:type="dxa"/>
        </w:tblCellMar>
      </w:tblPr>
      <w:tblGrid>
        <w:gridCol w:w="124"/>
        <w:gridCol w:w="109"/>
        <w:gridCol w:w="593"/>
        <w:gridCol w:w="593"/>
        <w:gridCol w:w="141"/>
        <w:gridCol w:w="109"/>
        <w:gridCol w:w="109"/>
        <w:gridCol w:w="109"/>
        <w:gridCol w:w="413"/>
        <w:gridCol w:w="413"/>
        <w:gridCol w:w="251"/>
        <w:gridCol w:w="109"/>
        <w:gridCol w:w="109"/>
        <w:gridCol w:w="109"/>
        <w:gridCol w:w="413"/>
        <w:gridCol w:w="413"/>
        <w:gridCol w:w="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114,782,467 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655,783 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110,130 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175" w:type="dxa"/>
        <w:jc w:val="left"/>
        <w:tblInd w:w="0" w:type="dxa"/>
        <w:tblLayout w:type="fixed"/>
        <w:tblCellMar>
          <w:top w:w="28" w:type="dxa"/>
          <w:left w:w="28" w:type="dxa"/>
          <w:bottom w:w="28" w:type="dxa"/>
          <w:right w:w="28" w:type="dxa"/>
        </w:tblCellMar>
      </w:tblPr>
      <w:tblGrid>
        <w:gridCol w:w="802"/>
        <w:gridCol w:w="707"/>
        <w:gridCol w:w="711"/>
        <w:gridCol w:w="495"/>
        <w:gridCol w:w="495"/>
        <w:gridCol w:w="495"/>
        <w:gridCol w:w="1297"/>
        <w:gridCol w:w="1297"/>
        <w:gridCol w:w="187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LAMB WESTON HOLDINGS,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Eryk J. Spytek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Eryk J. Spytek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Chief Compliance Officer</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3790</Characters>
  <CharactersWithSpaces>4367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