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02026_090726.xml.htm"/>
      <w:bookmarkStart w:id="1" w:name="ksform407302026_0907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Crowley Michael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North America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34,061.7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vest 33%, 33% and 34% on August 3, 2027, August 1, 2028 and July 31, 2029, respectively, or earlier upon certain events. Each RSU represents a contingent right to receive one share of Lamb Weston Holdings, Inc. common stock upon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Michael C. Crowley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19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3348</Characters>
  <CharactersWithSpaces>3901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