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302026_090751.xml.htm"/>
      <w:bookmarkStart w:id="1" w:name="ksform407302026_0907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Gray James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LAMB WESTON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599 S. RIVERSHORE LANE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Lamb Weston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975"/>
        <w:gridCol w:w="457"/>
        <w:gridCol w:w="619"/>
        <w:gridCol w:w="1199"/>
        <w:gridCol w:w="1001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16,111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101,444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that vest 33%, 33% and 34% on August 3, 2027, August 1, 2028 and July 31, 2029, respectively, or earlier upon certain events. Each RSU represents a contingent right to receive one share of Lamb Weston Holdings, Inc.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496 additional shares acquired since the date of the reporting person's last report through a dividend reinvestment feature.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Eryk J. Spytek by Power of Attorney from James D. Gray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9728" TargetMode="External"/><Relationship Id="rId5" Type="http://schemas.openxmlformats.org/officeDocument/2006/relationships/hyperlink" Target="http://www.sec.gov/cgi-bin/browse-edgar?action=getcompany&amp;CIK=00016792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3473</Characters>
  <CharactersWithSpaces>4049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