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10092026_081018.xml.htm"/>
      <w:bookmarkStart w:id="1" w:name="ksform410092026_08101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Alford Bradley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LAMB WESTON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599 S. RIVERSHORE LANE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EAGLE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83616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Lamb Weston Holdings, Inc.</w:t>
              </w:r>
            </w:hyperlink>
            <w:r>
              <w:rPr/>
              <w:t xml:space="preserve"> [ </w:t>
            </w:r>
            <w:r>
              <w:rPr>
                <w:rFonts w:ascii="Times;serif" w:hAnsi="Times;serif"/>
                <w:color w:val="0000FF"/>
                <w:sz w:val="24"/>
                <w:shd w:fill="FFFFFF" w:val="clear"/>
              </w:rPr>
              <w:t>LW</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64"/>
        <w:gridCol w:w="919"/>
        <w:gridCol w:w="787"/>
        <w:gridCol w:w="610"/>
        <w:gridCol w:w="349"/>
        <w:gridCol w:w="888"/>
        <w:gridCol w:w="447"/>
        <w:gridCol w:w="613"/>
        <w:gridCol w:w="1159"/>
        <w:gridCol w:w="997"/>
        <w:gridCol w:w="117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6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4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6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7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6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10/08/2026</w:t>
            </w:r>
          </w:p>
        </w:tc>
        <w:tc>
          <w:tcPr>
            <w:tcW w:w="7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5,458</w:t>
            </w:r>
            <w:r>
              <w:rPr>
                <w:rFonts w:ascii="Times;serif" w:hAnsi="Times;serif"/>
                <w:color w:val="008000"/>
                <w:position w:val="7"/>
                <w:sz w:val="16"/>
                <w:sz w:val="20"/>
                <w:shd w:fill="FFFFFF" w:val="clear"/>
              </w:rPr>
              <w:t>(1)</w:t>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12,607</w:t>
            </w:r>
            <w:r>
              <w:rPr>
                <w:rFonts w:ascii="Times;serif" w:hAnsi="Times;serif"/>
                <w:color w:val="008000"/>
                <w:position w:val="7"/>
                <w:sz w:val="16"/>
                <w:sz w:val="20"/>
                <w:shd w:fill="FFFFFF" w:val="clear"/>
              </w:rPr>
              <w:t>(2)</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6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19,233</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Revocable Trust</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restricted stock units ("RSUs") that vest on the earlier of (1) the first anniversary of the date of grant and (2) the date of the next annual meeting of Lamb Weston Holdings, Inc.'s ("Lamb Weston") stockholders that is at least 50 weeks after September 16, 2026, or earlier upon certain events. Each RSU represents a contingent right to receive one share of Lamb Weston common stock upon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172 additional shares acquired since the date of the reporting person's last report through a dividend reinvestment feature.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Eryk J. Spytek by Power of Attorney from Bradley A. Alford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90371" TargetMode="External"/><Relationship Id="rId5" Type="http://schemas.openxmlformats.org/officeDocument/2006/relationships/hyperlink" Target="http://www.sec.gov/cgi-bin/browse-edgar?action=getcompany&amp;CIK=000167927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671</Words>
  <Characters>3593</Characters>
  <CharactersWithSpaces>4192</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