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02026_090748.xml.htm"/>
      <w:bookmarkStart w:id="1" w:name="ksform407302026_0907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Gregory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LAMB WESTON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91"/>
        <w:gridCol w:w="457"/>
        <w:gridCol w:w="619"/>
        <w:gridCol w:w="1283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12,477.04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vest 33%, 33% and 34% on August 3, 2027, August 1, 2028 and July 31, 2029, respectively, or earlier upon certain events. Each RSU represents a contingent right to receive one share of Lamb Weston Holdings, Inc. common stock upon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Gregory W.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7286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3351</Characters>
  <CharactersWithSpaces>3907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