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02026_090739.xml.htm"/>
      <w:bookmarkStart w:id="1" w:name="ksform407302026_0907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Craps Jan Eli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LAMB WESTON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969"/>
        <w:gridCol w:w="449"/>
        <w:gridCol w:w="612"/>
        <w:gridCol w:w="131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68,656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689,168.8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vest 100% on July 31, 2029. Each RSU represents a contingent right to receive one share of Lamb Weston Holdings, Inc.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2,865.8 additional shares acquired since the date of the reporting person's last report through a dividend reinvestment feature.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Jan Eli B. Craps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7955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3399</Characters>
  <CharactersWithSpaces>3960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